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B25" w:rsidRPr="000C3B25" w:rsidRDefault="000C3B25" w:rsidP="000C3B25">
      <w:pPr>
        <w:widowControl/>
        <w:spacing w:before="100" w:beforeAutospacing="1" w:after="100" w:afterAutospacing="1" w:line="432" w:lineRule="auto"/>
        <w:jc w:val="left"/>
        <w:rPr>
          <w:rFonts w:ascii="Arial" w:eastAsia="宋体" w:hAnsi="Arial" w:cs="Arial"/>
          <w:kern w:val="0"/>
          <w:sz w:val="24"/>
          <w:szCs w:val="24"/>
        </w:rPr>
      </w:pPr>
      <w:r w:rsidRPr="000C3B25">
        <w:rPr>
          <w:rFonts w:ascii="Arial" w:eastAsia="宋体" w:hAnsi="Arial" w:cs="Arial"/>
          <w:b/>
          <w:bCs/>
          <w:kern w:val="0"/>
          <w:sz w:val="24"/>
          <w:szCs w:val="24"/>
        </w:rPr>
        <w:t>附件</w:t>
      </w:r>
      <w:r w:rsidRPr="000C3B25">
        <w:rPr>
          <w:rFonts w:ascii="Arial" w:eastAsia="宋体" w:hAnsi="Arial" w:cs="Arial"/>
          <w:kern w:val="0"/>
          <w:sz w:val="24"/>
          <w:szCs w:val="24"/>
        </w:rPr>
        <w:t> </w:t>
      </w:r>
    </w:p>
    <w:p w:rsidR="000C3B25" w:rsidRPr="000C3B25" w:rsidRDefault="000C3B25" w:rsidP="000C3B25">
      <w:pPr>
        <w:widowControl/>
        <w:spacing w:before="100" w:beforeAutospacing="1" w:after="100" w:afterAutospacing="1" w:line="432" w:lineRule="auto"/>
        <w:jc w:val="left"/>
        <w:rPr>
          <w:rFonts w:ascii="Arial" w:eastAsia="宋体" w:hAnsi="Arial" w:cs="Arial"/>
          <w:kern w:val="0"/>
          <w:sz w:val="24"/>
          <w:szCs w:val="24"/>
        </w:rPr>
      </w:pPr>
      <w:r w:rsidRPr="000C3B25">
        <w:rPr>
          <w:rFonts w:ascii="Arial" w:eastAsia="宋体" w:hAnsi="Arial" w:cs="Arial"/>
          <w:b/>
          <w:bCs/>
          <w:kern w:val="0"/>
          <w:sz w:val="15"/>
        </w:rPr>
        <w:t>政</w:t>
      </w:r>
      <w:r w:rsidRPr="000C3B25">
        <w:rPr>
          <w:rFonts w:ascii="Arial" w:eastAsia="宋体" w:hAnsi="Arial" w:cs="Arial"/>
          <w:b/>
          <w:bCs/>
          <w:kern w:val="0"/>
          <w:sz w:val="15"/>
        </w:rPr>
        <w:t xml:space="preserve"> </w:t>
      </w:r>
      <w:r w:rsidRPr="000C3B25">
        <w:rPr>
          <w:rFonts w:ascii="Arial" w:eastAsia="宋体" w:hAnsi="Arial" w:cs="Arial"/>
          <w:b/>
          <w:bCs/>
          <w:kern w:val="0"/>
          <w:sz w:val="15"/>
        </w:rPr>
        <w:t>策</w:t>
      </w:r>
      <w:r w:rsidRPr="000C3B25">
        <w:rPr>
          <w:rFonts w:ascii="Arial" w:eastAsia="宋体" w:hAnsi="Arial" w:cs="Arial"/>
          <w:b/>
          <w:bCs/>
          <w:kern w:val="0"/>
          <w:sz w:val="15"/>
        </w:rPr>
        <w:t xml:space="preserve"> </w:t>
      </w:r>
      <w:r w:rsidRPr="000C3B25">
        <w:rPr>
          <w:rFonts w:ascii="Arial" w:eastAsia="宋体" w:hAnsi="Arial" w:cs="Arial"/>
          <w:b/>
          <w:bCs/>
          <w:kern w:val="0"/>
          <w:sz w:val="15"/>
        </w:rPr>
        <w:t>措</w:t>
      </w:r>
      <w:r w:rsidRPr="000C3B25">
        <w:rPr>
          <w:rFonts w:ascii="Arial" w:eastAsia="宋体" w:hAnsi="Arial" w:cs="Arial"/>
          <w:b/>
          <w:bCs/>
          <w:kern w:val="0"/>
          <w:sz w:val="15"/>
        </w:rPr>
        <w:t xml:space="preserve"> </w:t>
      </w:r>
      <w:r w:rsidRPr="000C3B25">
        <w:rPr>
          <w:rFonts w:ascii="Arial" w:eastAsia="宋体" w:hAnsi="Arial" w:cs="Arial"/>
          <w:b/>
          <w:bCs/>
          <w:kern w:val="0"/>
          <w:sz w:val="15"/>
        </w:rPr>
        <w:t>施</w:t>
      </w:r>
      <w:r w:rsidRPr="000C3B25">
        <w:rPr>
          <w:rFonts w:ascii="Arial" w:eastAsia="宋体" w:hAnsi="Arial" w:cs="Arial"/>
          <w:b/>
          <w:bCs/>
          <w:kern w:val="0"/>
          <w:sz w:val="15"/>
        </w:rPr>
        <w:t xml:space="preserve"> </w:t>
      </w:r>
      <w:r w:rsidRPr="000C3B25">
        <w:rPr>
          <w:rFonts w:ascii="Arial" w:eastAsia="宋体" w:hAnsi="Arial" w:cs="Arial"/>
          <w:b/>
          <w:bCs/>
          <w:kern w:val="0"/>
          <w:sz w:val="15"/>
        </w:rPr>
        <w:t>分</w:t>
      </w:r>
      <w:r w:rsidRPr="000C3B25">
        <w:rPr>
          <w:rFonts w:ascii="Arial" w:eastAsia="宋体" w:hAnsi="Arial" w:cs="Arial"/>
          <w:b/>
          <w:bCs/>
          <w:kern w:val="0"/>
          <w:sz w:val="15"/>
        </w:rPr>
        <w:t xml:space="preserve"> </w:t>
      </w:r>
      <w:r w:rsidRPr="000C3B25">
        <w:rPr>
          <w:rFonts w:ascii="Arial" w:eastAsia="宋体" w:hAnsi="Arial" w:cs="Arial"/>
          <w:b/>
          <w:bCs/>
          <w:kern w:val="0"/>
          <w:sz w:val="15"/>
        </w:rPr>
        <w:t>工</w:t>
      </w:r>
      <w:r w:rsidRPr="000C3B25">
        <w:rPr>
          <w:rFonts w:ascii="Arial" w:eastAsia="宋体" w:hAnsi="Arial" w:cs="Arial"/>
          <w:b/>
          <w:bCs/>
          <w:kern w:val="0"/>
          <w:sz w:val="15"/>
        </w:rPr>
        <w:t xml:space="preserve"> </w:t>
      </w:r>
      <w:r w:rsidRPr="000C3B25">
        <w:rPr>
          <w:rFonts w:ascii="Arial" w:eastAsia="宋体" w:hAnsi="Arial" w:cs="Arial"/>
          <w:b/>
          <w:bCs/>
          <w:kern w:val="0"/>
          <w:sz w:val="15"/>
        </w:rPr>
        <w:t>表</w:t>
      </w:r>
      <w:r w:rsidRPr="000C3B25">
        <w:rPr>
          <w:rFonts w:ascii="Arial" w:eastAsia="宋体" w:hAnsi="Arial" w:cs="Arial"/>
          <w:kern w:val="0"/>
          <w:sz w:val="24"/>
          <w:szCs w:val="24"/>
        </w:rPr>
        <w:t> </w:t>
      </w:r>
    </w:p>
    <w:tbl>
      <w:tblPr>
        <w:tblW w:w="9450" w:type="dxa"/>
        <w:jc w:val="center"/>
        <w:tblCellSpacing w:w="7" w:type="dxa"/>
        <w:tblBorders>
          <w:top w:val="outset" w:sz="6" w:space="0" w:color="000000"/>
          <w:left w:val="outset" w:sz="6" w:space="0" w:color="000000"/>
          <w:bottom w:val="outset" w:sz="6" w:space="0" w:color="000000"/>
          <w:right w:val="outset" w:sz="6" w:space="0" w:color="000000"/>
        </w:tblBorders>
        <w:shd w:val="clear" w:color="auto" w:fill="FFFFFF"/>
        <w:tblCellMar>
          <w:top w:w="60" w:type="dxa"/>
          <w:left w:w="60" w:type="dxa"/>
          <w:bottom w:w="60" w:type="dxa"/>
          <w:right w:w="60" w:type="dxa"/>
        </w:tblCellMar>
        <w:tblLook w:val="04A0"/>
      </w:tblPr>
      <w:tblGrid>
        <w:gridCol w:w="621"/>
        <w:gridCol w:w="6254"/>
        <w:gridCol w:w="2575"/>
      </w:tblGrid>
      <w:tr w:rsidR="000C3B25" w:rsidRPr="000C3B25" w:rsidTr="000C3B25">
        <w:trPr>
          <w:tblCellSpacing w:w="7"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before="100" w:beforeAutospacing="1" w:after="100" w:afterAutospacing="1" w:line="432" w:lineRule="auto"/>
              <w:jc w:val="center"/>
              <w:rPr>
                <w:rFonts w:ascii="Arial" w:eastAsia="宋体" w:hAnsi="Arial" w:cs="Arial"/>
                <w:kern w:val="0"/>
                <w:sz w:val="18"/>
                <w:szCs w:val="18"/>
              </w:rPr>
            </w:pPr>
            <w:r w:rsidRPr="000C3B25">
              <w:rPr>
                <w:rFonts w:ascii="Arial" w:eastAsia="宋体" w:hAnsi="Arial" w:cs="Arial"/>
                <w:b/>
                <w:bCs/>
                <w:kern w:val="0"/>
                <w:sz w:val="15"/>
              </w:rPr>
              <w:t>序号</w:t>
            </w:r>
            <w:r w:rsidRPr="000C3B25">
              <w:rPr>
                <w:rFonts w:ascii="Arial" w:eastAsia="宋体" w:hAnsi="Arial" w:cs="Arial"/>
                <w:kern w:val="0"/>
                <w:sz w:val="18"/>
                <w:szCs w:val="18"/>
              </w:rPr>
              <w:t> </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before="100" w:beforeAutospacing="1" w:after="100" w:afterAutospacing="1" w:line="432" w:lineRule="auto"/>
              <w:jc w:val="left"/>
              <w:rPr>
                <w:rFonts w:ascii="Arial" w:eastAsia="宋体" w:hAnsi="Arial" w:cs="Arial"/>
                <w:kern w:val="0"/>
                <w:sz w:val="18"/>
                <w:szCs w:val="18"/>
              </w:rPr>
            </w:pPr>
            <w:r w:rsidRPr="000C3B25">
              <w:rPr>
                <w:rFonts w:ascii="Arial" w:eastAsia="宋体" w:hAnsi="Arial" w:cs="Arial"/>
                <w:b/>
                <w:bCs/>
                <w:kern w:val="0"/>
                <w:sz w:val="15"/>
              </w:rPr>
              <w:t>工作任务</w:t>
            </w:r>
            <w:r w:rsidRPr="000C3B25">
              <w:rPr>
                <w:rFonts w:ascii="Arial" w:eastAsia="宋体" w:hAnsi="Arial" w:cs="Arial"/>
                <w:kern w:val="0"/>
                <w:sz w:val="18"/>
                <w:szCs w:val="18"/>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before="100" w:beforeAutospacing="1" w:after="100" w:afterAutospacing="1" w:line="432" w:lineRule="auto"/>
              <w:jc w:val="left"/>
              <w:rPr>
                <w:rFonts w:ascii="Arial" w:eastAsia="宋体" w:hAnsi="Arial" w:cs="Arial"/>
                <w:kern w:val="0"/>
                <w:sz w:val="18"/>
                <w:szCs w:val="18"/>
              </w:rPr>
            </w:pPr>
            <w:r w:rsidRPr="000C3B25">
              <w:rPr>
                <w:rFonts w:ascii="Arial" w:eastAsia="宋体" w:hAnsi="Arial" w:cs="Arial"/>
                <w:b/>
                <w:bCs/>
                <w:kern w:val="0"/>
                <w:sz w:val="15"/>
              </w:rPr>
              <w:t>负责部门</w:t>
            </w:r>
            <w:r w:rsidRPr="000C3B25">
              <w:rPr>
                <w:rFonts w:ascii="Arial" w:eastAsia="宋体" w:hAnsi="Arial" w:cs="Arial"/>
                <w:kern w:val="0"/>
                <w:sz w:val="18"/>
                <w:szCs w:val="18"/>
              </w:rPr>
              <w:t> </w:t>
            </w:r>
          </w:p>
        </w:tc>
      </w:tr>
      <w:tr w:rsidR="000C3B25" w:rsidRPr="000C3B25" w:rsidTr="000C3B25">
        <w:trPr>
          <w:tblCellSpacing w:w="7"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center"/>
              <w:rPr>
                <w:rFonts w:ascii="Arial" w:eastAsia="宋体" w:hAnsi="Arial" w:cs="Arial"/>
                <w:kern w:val="0"/>
                <w:sz w:val="18"/>
                <w:szCs w:val="18"/>
              </w:rPr>
            </w:pPr>
            <w:r w:rsidRPr="000C3B25">
              <w:rPr>
                <w:rFonts w:ascii="Arial" w:eastAsia="宋体" w:hAnsi="Arial" w:cs="Arial"/>
                <w:kern w:val="0"/>
                <w:sz w:val="15"/>
                <w:szCs w:val="15"/>
              </w:rPr>
              <w:t>1</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进一步放开生产性服务业领域市场准入，营造公平竞争环境，不得对社会资本设置歧视性障碍，鼓励社会资本以多种方式发展生产性服务业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发展改革委、商务部会同有关部门</w:t>
            </w:r>
          </w:p>
        </w:tc>
      </w:tr>
      <w:tr w:rsidR="000C3B25" w:rsidRPr="000C3B25" w:rsidTr="000C3B25">
        <w:trPr>
          <w:tblCellSpacing w:w="7"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center"/>
              <w:rPr>
                <w:rFonts w:ascii="Arial" w:eastAsia="宋体" w:hAnsi="Arial" w:cs="Arial"/>
                <w:kern w:val="0"/>
                <w:sz w:val="18"/>
                <w:szCs w:val="18"/>
              </w:rPr>
            </w:pPr>
            <w:r w:rsidRPr="000C3B25">
              <w:rPr>
                <w:rFonts w:ascii="Arial" w:eastAsia="宋体" w:hAnsi="Arial" w:cs="Arial"/>
                <w:kern w:val="0"/>
                <w:sz w:val="15"/>
                <w:szCs w:val="15"/>
              </w:rPr>
              <w:t>2</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进一步减少生产性服务业重点领域前置审批和资质认定项目，由先证后照改为先照后证，加快落实注册资本认缴登记制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工商总局、中央编办会同有关部门</w:t>
            </w:r>
          </w:p>
        </w:tc>
      </w:tr>
      <w:tr w:rsidR="000C3B25" w:rsidRPr="000C3B25" w:rsidTr="000C3B25">
        <w:trPr>
          <w:tblCellSpacing w:w="7"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center"/>
              <w:rPr>
                <w:rFonts w:ascii="Arial" w:eastAsia="宋体" w:hAnsi="Arial" w:cs="Arial"/>
                <w:kern w:val="0"/>
                <w:sz w:val="18"/>
                <w:szCs w:val="18"/>
              </w:rPr>
            </w:pPr>
            <w:r w:rsidRPr="000C3B25">
              <w:rPr>
                <w:rFonts w:ascii="Arial" w:eastAsia="宋体" w:hAnsi="Arial" w:cs="Arial"/>
                <w:kern w:val="0"/>
                <w:sz w:val="15"/>
                <w:szCs w:val="15"/>
              </w:rPr>
              <w:t>3</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加快研究制定服务业进一步扩大开放的政策措施，对已经明确的扩大开放要求，要抓紧落实配套措施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发展改革委、商务部会同有关部门</w:t>
            </w:r>
          </w:p>
        </w:tc>
      </w:tr>
      <w:tr w:rsidR="000C3B25" w:rsidRPr="000C3B25" w:rsidTr="000C3B25">
        <w:trPr>
          <w:tblCellSpacing w:w="7"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center"/>
              <w:rPr>
                <w:rFonts w:ascii="Arial" w:eastAsia="宋体" w:hAnsi="Arial" w:cs="Arial"/>
                <w:kern w:val="0"/>
                <w:sz w:val="18"/>
                <w:szCs w:val="18"/>
              </w:rPr>
            </w:pPr>
            <w:r w:rsidRPr="000C3B25">
              <w:rPr>
                <w:rFonts w:ascii="Arial" w:eastAsia="宋体" w:hAnsi="Arial" w:cs="Arial"/>
                <w:kern w:val="0"/>
                <w:sz w:val="15"/>
                <w:szCs w:val="15"/>
              </w:rPr>
              <w:t>4</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进一步提高生产性服务业境外投资的便利化程度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发展改革委、商务部会同有关部门</w:t>
            </w:r>
          </w:p>
        </w:tc>
      </w:tr>
      <w:tr w:rsidR="000C3B25" w:rsidRPr="000C3B25" w:rsidTr="000C3B25">
        <w:trPr>
          <w:tblCellSpacing w:w="7"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center"/>
              <w:rPr>
                <w:rFonts w:ascii="Arial" w:eastAsia="宋体" w:hAnsi="Arial" w:cs="Arial"/>
                <w:kern w:val="0"/>
                <w:sz w:val="18"/>
                <w:szCs w:val="18"/>
              </w:rPr>
            </w:pPr>
            <w:r w:rsidRPr="000C3B25">
              <w:rPr>
                <w:rFonts w:ascii="Arial" w:eastAsia="宋体" w:hAnsi="Arial" w:cs="Arial"/>
                <w:kern w:val="0"/>
                <w:sz w:val="15"/>
                <w:szCs w:val="15"/>
              </w:rPr>
              <w:t>5</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加快跨境电子商务通关试点建设</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海关总署、发展改革委、商务部、质检总局会同有关部门</w:t>
            </w:r>
          </w:p>
        </w:tc>
      </w:tr>
      <w:tr w:rsidR="000C3B25" w:rsidRPr="000C3B25" w:rsidTr="000C3B25">
        <w:trPr>
          <w:tblCellSpacing w:w="7"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center"/>
              <w:rPr>
                <w:rFonts w:ascii="Arial" w:eastAsia="宋体" w:hAnsi="Arial" w:cs="Arial"/>
                <w:kern w:val="0"/>
                <w:sz w:val="18"/>
                <w:szCs w:val="18"/>
              </w:rPr>
            </w:pPr>
            <w:r w:rsidRPr="000C3B25">
              <w:rPr>
                <w:rFonts w:ascii="Arial" w:eastAsia="宋体" w:hAnsi="Arial" w:cs="Arial"/>
                <w:kern w:val="0"/>
                <w:sz w:val="15"/>
                <w:szCs w:val="15"/>
              </w:rPr>
              <w:t>6</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尽快将营业税改征增值税试点扩大到服务业全领域。根据生产性服务业产业融合度高的特点，完善促进生产性服务业的税收政策</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财政部、税务总局</w:t>
            </w:r>
          </w:p>
        </w:tc>
      </w:tr>
      <w:tr w:rsidR="000C3B25" w:rsidRPr="000C3B25" w:rsidTr="000C3B25">
        <w:trPr>
          <w:tblCellSpacing w:w="7"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center"/>
              <w:rPr>
                <w:rFonts w:ascii="Arial" w:eastAsia="宋体" w:hAnsi="Arial" w:cs="Arial"/>
                <w:kern w:val="0"/>
                <w:sz w:val="18"/>
                <w:szCs w:val="18"/>
              </w:rPr>
            </w:pPr>
            <w:r w:rsidRPr="000C3B25">
              <w:rPr>
                <w:rFonts w:ascii="Arial" w:eastAsia="宋体" w:hAnsi="Arial" w:cs="Arial"/>
                <w:kern w:val="0"/>
                <w:sz w:val="15"/>
                <w:szCs w:val="15"/>
              </w:rPr>
              <w:t>7</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研究适时扩大生产性服务业服务产品出口退税政策范围，制定产品退税目录和具体管理办法</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财政部、税务总局、发展改革委</w:t>
            </w:r>
          </w:p>
        </w:tc>
      </w:tr>
      <w:tr w:rsidR="000C3B25" w:rsidRPr="000C3B25" w:rsidTr="000C3B25">
        <w:trPr>
          <w:tblCellSpacing w:w="7"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center"/>
              <w:rPr>
                <w:rFonts w:ascii="Arial" w:eastAsia="宋体" w:hAnsi="Arial" w:cs="Arial"/>
                <w:kern w:val="0"/>
                <w:sz w:val="18"/>
                <w:szCs w:val="18"/>
              </w:rPr>
            </w:pPr>
            <w:r w:rsidRPr="000C3B25">
              <w:rPr>
                <w:rFonts w:ascii="Arial" w:eastAsia="宋体" w:hAnsi="Arial" w:cs="Arial"/>
                <w:kern w:val="0"/>
                <w:sz w:val="15"/>
                <w:szCs w:val="15"/>
              </w:rPr>
              <w:t>8</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完善政府采购办法，逐步加大政府向社会力量购买服务的力度，凡适合社会力量承担的，都可以通过委托、承包、采购等方式交给社会力量承担。研究制定政府向社会力量购买服务的指导性目录，明确政府购买的服务种类、性质和内容</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财政部</w:t>
            </w:r>
          </w:p>
        </w:tc>
      </w:tr>
      <w:tr w:rsidR="000C3B25" w:rsidRPr="000C3B25" w:rsidTr="000C3B25">
        <w:trPr>
          <w:tblCellSpacing w:w="7"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center"/>
              <w:rPr>
                <w:rFonts w:ascii="Arial" w:eastAsia="宋体" w:hAnsi="Arial" w:cs="Arial"/>
                <w:kern w:val="0"/>
                <w:sz w:val="18"/>
                <w:szCs w:val="18"/>
              </w:rPr>
            </w:pPr>
            <w:r w:rsidRPr="000C3B25">
              <w:rPr>
                <w:rFonts w:ascii="Arial" w:eastAsia="宋体" w:hAnsi="Arial" w:cs="Arial"/>
                <w:kern w:val="0"/>
                <w:sz w:val="15"/>
                <w:szCs w:val="15"/>
              </w:rPr>
              <w:t>9</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研究制定利用知识产权质押、仓单质押、信用保险保单质押、股权质押、商业保理等多种方式融资的可行措施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人民银行、银监会、财政部、保监会、知识产权局、版权局、商务部、工商</w:t>
            </w:r>
            <w:r w:rsidRPr="000C3B25">
              <w:rPr>
                <w:rFonts w:ascii="Arial" w:eastAsia="宋体" w:hAnsi="Arial" w:cs="Arial"/>
                <w:kern w:val="0"/>
                <w:sz w:val="15"/>
                <w:szCs w:val="15"/>
              </w:rPr>
              <w:lastRenderedPageBreak/>
              <w:t>总局等</w:t>
            </w:r>
          </w:p>
        </w:tc>
      </w:tr>
      <w:tr w:rsidR="000C3B25" w:rsidRPr="000C3B25" w:rsidTr="000C3B25">
        <w:trPr>
          <w:tblCellSpacing w:w="7"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center"/>
              <w:rPr>
                <w:rFonts w:ascii="Arial" w:eastAsia="宋体" w:hAnsi="Arial" w:cs="Arial"/>
                <w:kern w:val="0"/>
                <w:sz w:val="18"/>
                <w:szCs w:val="18"/>
              </w:rPr>
            </w:pPr>
            <w:r w:rsidRPr="000C3B25">
              <w:rPr>
                <w:rFonts w:ascii="Arial" w:eastAsia="宋体" w:hAnsi="Arial" w:cs="Arial"/>
                <w:kern w:val="0"/>
                <w:sz w:val="15"/>
                <w:szCs w:val="15"/>
              </w:rPr>
              <w:lastRenderedPageBreak/>
              <w:t>10</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支持符合条件的生产性服务业企业上市融资、发行债券</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证监会、发展改革委、人民银行</w:t>
            </w:r>
          </w:p>
        </w:tc>
      </w:tr>
      <w:tr w:rsidR="000C3B25" w:rsidRPr="000C3B25" w:rsidTr="000C3B25">
        <w:trPr>
          <w:tblCellSpacing w:w="7"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center"/>
              <w:rPr>
                <w:rFonts w:ascii="Arial" w:eastAsia="宋体" w:hAnsi="Arial" w:cs="Arial"/>
                <w:kern w:val="0"/>
                <w:sz w:val="18"/>
                <w:szCs w:val="18"/>
              </w:rPr>
            </w:pPr>
            <w:r w:rsidRPr="000C3B25">
              <w:rPr>
                <w:rFonts w:ascii="Arial" w:eastAsia="宋体" w:hAnsi="Arial" w:cs="Arial"/>
                <w:kern w:val="0"/>
                <w:sz w:val="15"/>
                <w:szCs w:val="15"/>
              </w:rPr>
              <w:t>11</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鼓励融资性担保机构扩大生产性服务业企业担保业务规模</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银监会、发展改革委、工业和信息化部、财政部等</w:t>
            </w:r>
          </w:p>
        </w:tc>
      </w:tr>
      <w:tr w:rsidR="000C3B25" w:rsidRPr="000C3B25" w:rsidTr="000C3B25">
        <w:trPr>
          <w:tblCellSpacing w:w="7"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center"/>
              <w:rPr>
                <w:rFonts w:ascii="Arial" w:eastAsia="宋体" w:hAnsi="Arial" w:cs="Arial"/>
                <w:kern w:val="0"/>
                <w:sz w:val="18"/>
                <w:szCs w:val="18"/>
              </w:rPr>
            </w:pPr>
            <w:r w:rsidRPr="000C3B25">
              <w:rPr>
                <w:rFonts w:ascii="Arial" w:eastAsia="宋体" w:hAnsi="Arial" w:cs="Arial"/>
                <w:kern w:val="0"/>
                <w:sz w:val="15"/>
                <w:szCs w:val="15"/>
              </w:rPr>
              <w:t>12</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鼓励工业企业利用自有工业用地兴办促进企业转型升级的自营生产性服务业，经依法批准，对提高自有工业用地容积率用于自营生产性服务业的工业企业，可按新用途办理相关手续</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发展改革委、工业和信息化部、住房城乡建设部、国土资源部</w:t>
            </w:r>
          </w:p>
        </w:tc>
      </w:tr>
      <w:tr w:rsidR="000C3B25" w:rsidRPr="000C3B25" w:rsidTr="000C3B25">
        <w:trPr>
          <w:tblCellSpacing w:w="7"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center"/>
              <w:rPr>
                <w:rFonts w:ascii="Arial" w:eastAsia="宋体" w:hAnsi="Arial" w:cs="Arial"/>
                <w:kern w:val="0"/>
                <w:sz w:val="18"/>
                <w:szCs w:val="18"/>
              </w:rPr>
            </w:pPr>
            <w:r w:rsidRPr="000C3B25">
              <w:rPr>
                <w:rFonts w:ascii="Arial" w:eastAsia="宋体" w:hAnsi="Arial" w:cs="Arial"/>
                <w:kern w:val="0"/>
                <w:sz w:val="15"/>
                <w:szCs w:val="15"/>
              </w:rPr>
              <w:t>13</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选择具备条件的城市和国家服务业综合改革试点区域，鼓励通过对城镇低效用地的改造发展生产性服务业。加强对服务业发展示范区促进生产性服务业发展与土地利用工作的协同指导</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国土资源部、住房城乡建设部、发展改革委</w:t>
            </w:r>
          </w:p>
        </w:tc>
      </w:tr>
      <w:tr w:rsidR="000C3B25" w:rsidRPr="000C3B25" w:rsidTr="000C3B25">
        <w:trPr>
          <w:tblCellSpacing w:w="7"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center"/>
              <w:rPr>
                <w:rFonts w:ascii="Arial" w:eastAsia="宋体" w:hAnsi="Arial" w:cs="Arial"/>
                <w:kern w:val="0"/>
                <w:sz w:val="18"/>
                <w:szCs w:val="18"/>
              </w:rPr>
            </w:pPr>
            <w:r w:rsidRPr="000C3B25">
              <w:rPr>
                <w:rFonts w:ascii="Arial" w:eastAsia="宋体" w:hAnsi="Arial" w:cs="Arial"/>
                <w:kern w:val="0"/>
                <w:sz w:val="15"/>
                <w:szCs w:val="15"/>
              </w:rPr>
              <w:t>14</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支持生产性服务业创新团队培养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发展改革委、人力资源社会保障部</w:t>
            </w:r>
          </w:p>
        </w:tc>
      </w:tr>
      <w:tr w:rsidR="000C3B25" w:rsidRPr="000C3B25" w:rsidTr="000C3B25">
        <w:trPr>
          <w:tblCellSpacing w:w="7" w:type="dxa"/>
          <w:jc w:val="center"/>
        </w:trPr>
        <w:tc>
          <w:tcPr>
            <w:tcW w:w="6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center"/>
              <w:rPr>
                <w:rFonts w:ascii="Arial" w:eastAsia="宋体" w:hAnsi="Arial" w:cs="Arial"/>
                <w:kern w:val="0"/>
                <w:sz w:val="18"/>
                <w:szCs w:val="18"/>
              </w:rPr>
            </w:pPr>
            <w:r w:rsidRPr="000C3B25">
              <w:rPr>
                <w:rFonts w:ascii="Arial" w:eastAsia="宋体" w:hAnsi="Arial" w:cs="Arial"/>
                <w:kern w:val="0"/>
                <w:sz w:val="15"/>
                <w:szCs w:val="15"/>
              </w:rPr>
              <w:t>15</w:t>
            </w:r>
          </w:p>
        </w:tc>
        <w:tc>
          <w:tcPr>
            <w:tcW w:w="62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line="432" w:lineRule="auto"/>
              <w:jc w:val="left"/>
              <w:rPr>
                <w:rFonts w:ascii="Arial" w:eastAsia="宋体" w:hAnsi="Arial" w:cs="Arial"/>
                <w:kern w:val="0"/>
                <w:sz w:val="18"/>
                <w:szCs w:val="18"/>
              </w:rPr>
            </w:pPr>
            <w:r w:rsidRPr="000C3B25">
              <w:rPr>
                <w:rFonts w:ascii="Arial" w:eastAsia="宋体" w:hAnsi="Arial" w:cs="Arial"/>
                <w:kern w:val="0"/>
                <w:sz w:val="15"/>
                <w:szCs w:val="15"/>
              </w:rPr>
              <w:t>抓紧研究制定生产性服务业及重点领域统计分类，完善相关统计制度和指标体系，明确各有关部门相关统计任务。建立健全有关部门信息共享机制，逐步形成年度、季度信息发布机制</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C3B25" w:rsidRPr="000C3B25" w:rsidRDefault="000C3B25" w:rsidP="000C3B25">
            <w:pPr>
              <w:widowControl/>
              <w:spacing w:before="100" w:beforeAutospacing="1" w:after="100" w:afterAutospacing="1" w:line="432" w:lineRule="auto"/>
              <w:jc w:val="left"/>
              <w:rPr>
                <w:rFonts w:ascii="Arial" w:eastAsia="宋体" w:hAnsi="Arial" w:cs="Arial"/>
                <w:kern w:val="0"/>
                <w:sz w:val="18"/>
                <w:szCs w:val="18"/>
              </w:rPr>
            </w:pPr>
            <w:r w:rsidRPr="000C3B25">
              <w:rPr>
                <w:rFonts w:ascii="Arial" w:eastAsia="宋体" w:hAnsi="Arial" w:cs="Arial"/>
                <w:kern w:val="0"/>
                <w:sz w:val="15"/>
                <w:szCs w:val="15"/>
              </w:rPr>
              <w:t>统计局、发展改革委、工业和信息化部会同有关部门</w:t>
            </w:r>
            <w:r w:rsidRPr="000C3B25">
              <w:rPr>
                <w:rFonts w:ascii="Arial" w:eastAsia="宋体" w:hAnsi="Arial" w:cs="Arial"/>
                <w:kern w:val="0"/>
                <w:sz w:val="18"/>
                <w:szCs w:val="18"/>
              </w:rPr>
              <w:t> </w:t>
            </w:r>
          </w:p>
        </w:tc>
      </w:tr>
    </w:tbl>
    <w:p w:rsidR="000C3B25" w:rsidRPr="000C3B25" w:rsidRDefault="000C3B25" w:rsidP="000C3B25">
      <w:pPr>
        <w:widowControl/>
        <w:spacing w:before="100" w:beforeAutospacing="1" w:after="100" w:afterAutospacing="1" w:line="432" w:lineRule="auto"/>
        <w:jc w:val="left"/>
        <w:rPr>
          <w:rFonts w:ascii="Arial" w:eastAsia="宋体" w:hAnsi="Arial" w:cs="Arial"/>
          <w:kern w:val="0"/>
          <w:sz w:val="24"/>
          <w:szCs w:val="24"/>
        </w:rPr>
      </w:pPr>
      <w:r w:rsidRPr="000C3B25">
        <w:rPr>
          <w:rFonts w:ascii="Arial" w:eastAsia="宋体" w:hAnsi="Arial" w:cs="Arial"/>
          <w:kern w:val="0"/>
          <w:sz w:val="24"/>
          <w:szCs w:val="24"/>
        </w:rPr>
        <w:t> </w:t>
      </w:r>
    </w:p>
    <w:p w:rsidR="00BD3C06" w:rsidRDefault="00BD3C06"/>
    <w:sectPr w:rsidR="00BD3C06"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3B25"/>
    <w:rsid w:val="000C3B25"/>
    <w:rsid w:val="000E2AC9"/>
    <w:rsid w:val="00910E51"/>
    <w:rsid w:val="00A375D1"/>
    <w:rsid w:val="00B95753"/>
    <w:rsid w:val="00BD3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unhideWhenUsed/>
    <w:rsid w:val="000C3B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17403564">
      <w:bodyDiv w:val="1"/>
      <w:marLeft w:val="0"/>
      <w:marRight w:val="0"/>
      <w:marTop w:val="0"/>
      <w:marBottom w:val="0"/>
      <w:divBdr>
        <w:top w:val="none" w:sz="0" w:space="0" w:color="auto"/>
        <w:left w:val="none" w:sz="0" w:space="0" w:color="auto"/>
        <w:bottom w:val="none" w:sz="0" w:space="0" w:color="auto"/>
        <w:right w:val="none" w:sz="0" w:space="0" w:color="auto"/>
      </w:divBdr>
      <w:divsChild>
        <w:div w:id="20664557">
          <w:marLeft w:val="0"/>
          <w:marRight w:val="0"/>
          <w:marTop w:val="0"/>
          <w:marBottom w:val="0"/>
          <w:divBdr>
            <w:top w:val="none" w:sz="0" w:space="0" w:color="auto"/>
            <w:left w:val="none" w:sz="0" w:space="0" w:color="auto"/>
            <w:bottom w:val="none" w:sz="0" w:space="0" w:color="auto"/>
            <w:right w:val="none" w:sz="0" w:space="0" w:color="auto"/>
          </w:divBdr>
          <w:divsChild>
            <w:div w:id="16384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960</Characters>
  <Application>Microsoft Office Word</Application>
  <DocSecurity>0</DocSecurity>
  <Lines>8</Lines>
  <Paragraphs>2</Paragraphs>
  <ScaleCrop>false</ScaleCrop>
  <Company>Microsoft</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1</cp:revision>
  <dcterms:created xsi:type="dcterms:W3CDTF">2014-08-27T06:32:00Z</dcterms:created>
  <dcterms:modified xsi:type="dcterms:W3CDTF">2014-08-27T06:32:00Z</dcterms:modified>
</cp:coreProperties>
</file>