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85" w:rsidRPr="00852B85" w:rsidRDefault="00852B85" w:rsidP="00852B85">
      <w:pPr>
        <w:widowControl/>
        <w:shd w:val="clear" w:color="auto" w:fill="FEFEFE"/>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湖州市地方税务局关于公开征求《湖州市地方税务局关于采矿业资源税征收管理的公告》意见的函</w:t>
      </w:r>
      <w:r>
        <w:rPr>
          <w:rFonts w:ascii="宋体" w:eastAsia="宋体" w:hAnsi="宋体" w:cs="宋体"/>
          <w:color w:val="0D0D0D" w:themeColor="text1" w:themeTint="F2"/>
          <w:kern w:val="0"/>
          <w:szCs w:val="21"/>
        </w:rPr>
        <w:br/>
      </w:r>
    </w:p>
    <w:p w:rsidR="00852B85" w:rsidRPr="00852B85" w:rsidRDefault="00852B85" w:rsidP="00852B85">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852B85">
        <w:rPr>
          <w:rFonts w:ascii="宋体" w:eastAsia="宋体" w:hAnsi="宋体" w:cs="宋体" w:hint="eastAsia"/>
          <w:color w:val="0D0D0D" w:themeColor="text1" w:themeTint="F2"/>
          <w:kern w:val="0"/>
          <w:szCs w:val="21"/>
        </w:rPr>
        <w:t xml:space="preserve">　　我局拟制定出台规范性文件《湖州市地方税务局关于采矿业资源税征收管理的公告》。</w:t>
      </w:r>
      <w:r w:rsidRPr="00852B85">
        <w:rPr>
          <w:rFonts w:ascii="宋体" w:eastAsia="宋体" w:hAnsi="宋体" w:cs="宋体" w:hint="eastAsia"/>
          <w:color w:val="0D0D0D" w:themeColor="text1" w:themeTint="F2"/>
          <w:kern w:val="0"/>
          <w:szCs w:val="21"/>
        </w:rPr>
        <w:br/>
        <w:t xml:space="preserve">　　根据《浙江省地税系统税收规范性文件管理办法》，现于即日起在湖州财税网站对社会公众进行为期3天的公示，征求社会公众意见。纳税人可登录湖州财税网站阅读上述文件，并可通过电话联系方式向湖州市地税局反映意见和建议。(电话：2150109  2150190)</w:t>
      </w:r>
    </w:p>
    <w:p w:rsidR="00852B85" w:rsidRPr="00852B85" w:rsidRDefault="00852B85" w:rsidP="00852B85">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852B85">
        <w:rPr>
          <w:rFonts w:ascii="宋体" w:eastAsia="宋体" w:hAnsi="宋体" w:cs="宋体" w:hint="eastAsia"/>
          <w:color w:val="0D0D0D" w:themeColor="text1" w:themeTint="F2"/>
          <w:kern w:val="0"/>
          <w:szCs w:val="21"/>
        </w:rPr>
        <w:t xml:space="preserve">　　附件：《湖州市地方税务局关于采矿业资源税征收管理的公告》(征求意见稿)</w:t>
      </w:r>
    </w:p>
    <w:p w:rsidR="00852B85" w:rsidRPr="00852B85" w:rsidRDefault="00852B85" w:rsidP="00852B85">
      <w:pPr>
        <w:widowControl/>
        <w:shd w:val="clear" w:color="auto" w:fill="FEFEFE"/>
        <w:spacing w:line="360" w:lineRule="atLeast"/>
        <w:jc w:val="right"/>
        <w:rPr>
          <w:rFonts w:ascii="宋体" w:eastAsia="宋体" w:hAnsi="宋体" w:cs="宋体" w:hint="eastAsia"/>
          <w:color w:val="0D0D0D" w:themeColor="text1" w:themeTint="F2"/>
          <w:kern w:val="0"/>
          <w:szCs w:val="21"/>
        </w:rPr>
      </w:pPr>
      <w:r w:rsidRPr="00852B85">
        <w:rPr>
          <w:rFonts w:ascii="宋体" w:eastAsia="宋体" w:hAnsi="宋体" w:cs="宋体" w:hint="eastAsia"/>
          <w:color w:val="0D0D0D" w:themeColor="text1" w:themeTint="F2"/>
          <w:kern w:val="0"/>
          <w:szCs w:val="21"/>
        </w:rPr>
        <w:t xml:space="preserve">　　湖州市地方税务局</w:t>
      </w:r>
      <w:r w:rsidRPr="00852B85">
        <w:rPr>
          <w:rFonts w:ascii="宋体" w:eastAsia="宋体" w:hAnsi="宋体" w:cs="宋体" w:hint="eastAsia"/>
          <w:color w:val="0D0D0D" w:themeColor="text1" w:themeTint="F2"/>
          <w:kern w:val="0"/>
          <w:szCs w:val="21"/>
        </w:rPr>
        <w:br/>
        <w:t xml:space="preserve">　　2014年9月4日</w:t>
      </w:r>
    </w:p>
    <w:p w:rsidR="00852B85" w:rsidRPr="00852B85" w:rsidRDefault="00852B85" w:rsidP="00852B85">
      <w:pPr>
        <w:widowControl/>
        <w:shd w:val="clear" w:color="auto" w:fill="FEFEFE"/>
        <w:spacing w:line="360" w:lineRule="atLeast"/>
        <w:jc w:val="center"/>
        <w:rPr>
          <w:rFonts w:ascii="宋体" w:eastAsia="宋体" w:hAnsi="宋体" w:cs="宋体" w:hint="eastAsia"/>
          <w:color w:val="0D0D0D" w:themeColor="text1" w:themeTint="F2"/>
          <w:kern w:val="0"/>
          <w:szCs w:val="21"/>
        </w:rPr>
      </w:pPr>
      <w:r w:rsidRPr="00852B85">
        <w:rPr>
          <w:rFonts w:ascii="宋体" w:eastAsia="宋体" w:hAnsi="宋体" w:cs="宋体" w:hint="eastAsia"/>
          <w:color w:val="0D0D0D" w:themeColor="text1" w:themeTint="F2"/>
          <w:kern w:val="0"/>
          <w:szCs w:val="21"/>
        </w:rPr>
        <w:t>湖州市地方税务局关于采矿</w:t>
      </w:r>
      <w:proofErr w:type="gramStart"/>
      <w:r w:rsidRPr="00852B85">
        <w:rPr>
          <w:rFonts w:ascii="宋体" w:eastAsia="宋体" w:hAnsi="宋体" w:cs="宋体" w:hint="eastAsia"/>
          <w:color w:val="0D0D0D" w:themeColor="text1" w:themeTint="F2"/>
          <w:kern w:val="0"/>
          <w:szCs w:val="21"/>
        </w:rPr>
        <w:t>业资源</w:t>
      </w:r>
      <w:proofErr w:type="gramEnd"/>
      <w:r w:rsidRPr="00852B85">
        <w:rPr>
          <w:rFonts w:ascii="宋体" w:eastAsia="宋体" w:hAnsi="宋体" w:cs="宋体" w:hint="eastAsia"/>
          <w:color w:val="0D0D0D" w:themeColor="text1" w:themeTint="F2"/>
          <w:kern w:val="0"/>
          <w:szCs w:val="21"/>
        </w:rPr>
        <w:t>税征收管理的公告</w:t>
      </w:r>
    </w:p>
    <w:p w:rsidR="00852B85" w:rsidRPr="00852B85" w:rsidRDefault="00852B85" w:rsidP="00852B85">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852B85">
        <w:rPr>
          <w:rFonts w:ascii="宋体" w:eastAsia="宋体" w:hAnsi="宋体" w:cs="宋体" w:hint="eastAsia"/>
          <w:color w:val="0D0D0D" w:themeColor="text1" w:themeTint="F2"/>
          <w:kern w:val="0"/>
          <w:szCs w:val="21"/>
        </w:rPr>
        <w:t xml:space="preserve">　　为进一步规范和加强资源税征收管理，根据《中华人民共和国税收征收管理法》、《中华人民共和国资源税暂行条例》、《中华人民共和国资源税暂行条例实施细则》、《浙江省人民政府办公厅关于调整资源税征收政策有关问题的通知》(浙政办发[2014]96号)等有关规定，结合本市实际，现将采矿</w:t>
      </w:r>
      <w:proofErr w:type="gramStart"/>
      <w:r w:rsidRPr="00852B85">
        <w:rPr>
          <w:rFonts w:ascii="宋体" w:eastAsia="宋体" w:hAnsi="宋体" w:cs="宋体" w:hint="eastAsia"/>
          <w:color w:val="0D0D0D" w:themeColor="text1" w:themeTint="F2"/>
          <w:kern w:val="0"/>
          <w:szCs w:val="21"/>
        </w:rPr>
        <w:t>业资源</w:t>
      </w:r>
      <w:proofErr w:type="gramEnd"/>
      <w:r w:rsidRPr="00852B85">
        <w:rPr>
          <w:rFonts w:ascii="宋体" w:eastAsia="宋体" w:hAnsi="宋体" w:cs="宋体" w:hint="eastAsia"/>
          <w:color w:val="0D0D0D" w:themeColor="text1" w:themeTint="F2"/>
          <w:kern w:val="0"/>
          <w:szCs w:val="21"/>
        </w:rPr>
        <w:t>税征收管理工作的有关事项公告如下：</w:t>
      </w:r>
      <w:r w:rsidRPr="00852B85">
        <w:rPr>
          <w:rFonts w:ascii="宋体" w:eastAsia="宋体" w:hAnsi="宋体" w:cs="宋体" w:hint="eastAsia"/>
          <w:color w:val="0D0D0D" w:themeColor="text1" w:themeTint="F2"/>
          <w:kern w:val="0"/>
          <w:szCs w:val="21"/>
        </w:rPr>
        <w:br/>
        <w:t xml:space="preserve">　　一、适用范围</w:t>
      </w:r>
      <w:r w:rsidRPr="00852B85">
        <w:rPr>
          <w:rFonts w:ascii="宋体" w:eastAsia="宋体" w:hAnsi="宋体" w:cs="宋体" w:hint="eastAsia"/>
          <w:color w:val="0D0D0D" w:themeColor="text1" w:themeTint="F2"/>
          <w:kern w:val="0"/>
          <w:szCs w:val="21"/>
        </w:rPr>
        <w:br/>
        <w:t xml:space="preserve">　　本通知适用于湖州市本级范围内从事建筑石、石灰石、花岗石等矿产资源开采和销售的单位。</w:t>
      </w:r>
    </w:p>
    <w:p w:rsidR="00852B85" w:rsidRPr="00852B85" w:rsidRDefault="00852B85" w:rsidP="00852B85">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852B85">
        <w:rPr>
          <w:rFonts w:ascii="宋体" w:eastAsia="宋体" w:hAnsi="宋体" w:cs="宋体" w:hint="eastAsia"/>
          <w:color w:val="0D0D0D" w:themeColor="text1" w:themeTint="F2"/>
          <w:kern w:val="0"/>
          <w:szCs w:val="21"/>
        </w:rPr>
        <w:t xml:space="preserve">　　二、征收方式</w:t>
      </w:r>
      <w:r w:rsidRPr="00852B85">
        <w:rPr>
          <w:rFonts w:ascii="宋体" w:eastAsia="宋体" w:hAnsi="宋体" w:cs="宋体" w:hint="eastAsia"/>
          <w:color w:val="0D0D0D" w:themeColor="text1" w:themeTint="F2"/>
          <w:kern w:val="0"/>
          <w:szCs w:val="21"/>
        </w:rPr>
        <w:br/>
        <w:t xml:space="preserve">　　(</w:t>
      </w:r>
      <w:proofErr w:type="gramStart"/>
      <w:r w:rsidRPr="00852B85">
        <w:rPr>
          <w:rFonts w:ascii="宋体" w:eastAsia="宋体" w:hAnsi="宋体" w:cs="宋体" w:hint="eastAsia"/>
          <w:color w:val="0D0D0D" w:themeColor="text1" w:themeTint="F2"/>
          <w:kern w:val="0"/>
          <w:szCs w:val="21"/>
        </w:rPr>
        <w:t>一</w:t>
      </w:r>
      <w:proofErr w:type="gramEnd"/>
      <w:r w:rsidRPr="00852B85">
        <w:rPr>
          <w:rFonts w:ascii="宋体" w:eastAsia="宋体" w:hAnsi="宋体" w:cs="宋体" w:hint="eastAsia"/>
          <w:color w:val="0D0D0D" w:themeColor="text1" w:themeTint="F2"/>
          <w:kern w:val="0"/>
          <w:szCs w:val="21"/>
        </w:rPr>
        <w:t>)查账征收</w:t>
      </w:r>
      <w:r w:rsidRPr="00852B85">
        <w:rPr>
          <w:rFonts w:ascii="宋体" w:eastAsia="宋体" w:hAnsi="宋体" w:cs="宋体" w:hint="eastAsia"/>
          <w:color w:val="0D0D0D" w:themeColor="text1" w:themeTint="F2"/>
          <w:kern w:val="0"/>
          <w:szCs w:val="21"/>
        </w:rPr>
        <w:br/>
        <w:t xml:space="preserve">　　对财务核算健全、能真实完整反映生产经营状况、认真履行有关税收法律、法规规定义务的单位，实行查账征收。单位应依法自行申报缴纳资源税。</w:t>
      </w:r>
      <w:r w:rsidRPr="00852B85">
        <w:rPr>
          <w:rFonts w:ascii="宋体" w:eastAsia="宋体" w:hAnsi="宋体" w:cs="宋体" w:hint="eastAsia"/>
          <w:color w:val="0D0D0D" w:themeColor="text1" w:themeTint="F2"/>
          <w:kern w:val="0"/>
          <w:szCs w:val="21"/>
        </w:rPr>
        <w:br/>
        <w:t xml:space="preserve">　　(二)预征与查账相结合征收</w:t>
      </w:r>
      <w:r w:rsidRPr="00852B85">
        <w:rPr>
          <w:rFonts w:ascii="宋体" w:eastAsia="宋体" w:hAnsi="宋体" w:cs="宋体" w:hint="eastAsia"/>
          <w:color w:val="0D0D0D" w:themeColor="text1" w:themeTint="F2"/>
          <w:kern w:val="0"/>
          <w:szCs w:val="21"/>
        </w:rPr>
        <w:br/>
        <w:t xml:space="preserve">　　对财务</w:t>
      </w:r>
      <w:proofErr w:type="gramStart"/>
      <w:r w:rsidRPr="00852B85">
        <w:rPr>
          <w:rFonts w:ascii="宋体" w:eastAsia="宋体" w:hAnsi="宋体" w:cs="宋体" w:hint="eastAsia"/>
          <w:color w:val="0D0D0D" w:themeColor="text1" w:themeTint="F2"/>
          <w:kern w:val="0"/>
          <w:szCs w:val="21"/>
        </w:rPr>
        <w:t>核算较</w:t>
      </w:r>
      <w:proofErr w:type="gramEnd"/>
      <w:r w:rsidRPr="00852B85">
        <w:rPr>
          <w:rFonts w:ascii="宋体" w:eastAsia="宋体" w:hAnsi="宋体" w:cs="宋体" w:hint="eastAsia"/>
          <w:color w:val="0D0D0D" w:themeColor="text1" w:themeTint="F2"/>
          <w:kern w:val="0"/>
          <w:szCs w:val="21"/>
        </w:rPr>
        <w:t>健全、基本能真实完整反映生产经营状况的纳税人，实行预征与查账相结合的方式征收，纳税人应纳的资源税，在购买火工品环节，按本公告规定的标准预征，于次年5月31日前按规定自行申报结算，多退少补。</w:t>
      </w:r>
      <w:r w:rsidRPr="00852B85">
        <w:rPr>
          <w:rFonts w:ascii="宋体" w:eastAsia="宋体" w:hAnsi="宋体" w:cs="宋体" w:hint="eastAsia"/>
          <w:color w:val="0D0D0D" w:themeColor="text1" w:themeTint="F2"/>
          <w:kern w:val="0"/>
          <w:szCs w:val="21"/>
        </w:rPr>
        <w:br/>
        <w:t xml:space="preserve">　　(三)预征与核定相结合征收</w:t>
      </w:r>
      <w:r w:rsidRPr="00852B85">
        <w:rPr>
          <w:rFonts w:ascii="宋体" w:eastAsia="宋体" w:hAnsi="宋体" w:cs="宋体" w:hint="eastAsia"/>
          <w:color w:val="0D0D0D" w:themeColor="text1" w:themeTint="F2"/>
          <w:kern w:val="0"/>
          <w:szCs w:val="21"/>
        </w:rPr>
        <w:br/>
        <w:t xml:space="preserve">　　对财务核算不健全、不能真实完整反映生产经营状况的纳税人，实行预征与核定相结合的方式征收，纳税人应纳的资源税，在购买火工品环节，按本公告规定的标准预征，由主管税务机关对其实行核定征收。</w:t>
      </w:r>
    </w:p>
    <w:p w:rsidR="00852B85" w:rsidRPr="00852B85" w:rsidRDefault="00852B85" w:rsidP="00852B85">
      <w:pPr>
        <w:widowControl/>
        <w:jc w:val="left"/>
        <w:rPr>
          <w:rFonts w:ascii="宋体" w:eastAsia="宋体" w:hAnsi="宋体" w:cs="宋体" w:hint="eastAsia"/>
          <w:color w:val="0D0D0D" w:themeColor="text1" w:themeTint="F2"/>
          <w:kern w:val="0"/>
          <w:sz w:val="24"/>
          <w:szCs w:val="24"/>
        </w:rPr>
      </w:pPr>
      <w:r w:rsidRPr="00852B85">
        <w:rPr>
          <w:rFonts w:ascii="宋体" w:eastAsia="宋体" w:hAnsi="宋体" w:cs="宋体" w:hint="eastAsia"/>
          <w:color w:val="0D0D0D" w:themeColor="text1" w:themeTint="F2"/>
          <w:kern w:val="0"/>
          <w:szCs w:val="21"/>
        </w:rPr>
        <w:br/>
      </w:r>
      <w:r w:rsidRPr="00852B85">
        <w:rPr>
          <w:rFonts w:ascii="宋体" w:eastAsia="宋体" w:hAnsi="宋体" w:cs="宋体" w:hint="eastAsia"/>
          <w:color w:val="0D0D0D" w:themeColor="text1" w:themeTint="F2"/>
          <w:kern w:val="0"/>
          <w:szCs w:val="21"/>
          <w:shd w:val="clear" w:color="auto" w:fill="FEFEFE"/>
        </w:rPr>
        <w:t xml:space="preserve">　　(四)上述纳税人征收方式由主管税务机关认定，以书面形式通知纳税人。新办纳税人征收方式自税务登记后3个月内予以认定；临时从事本通知规定范围的纳税人征收方式由各主管税务机关根据具体情况事前予以认定。</w:t>
      </w:r>
    </w:p>
    <w:p w:rsidR="00852B85" w:rsidRPr="00852B85" w:rsidRDefault="00852B85" w:rsidP="00852B85">
      <w:pPr>
        <w:widowControl/>
        <w:shd w:val="clear" w:color="auto" w:fill="FEFEFE"/>
        <w:spacing w:line="360" w:lineRule="atLeast"/>
        <w:jc w:val="left"/>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 xml:space="preserve">　　三、资源税预征标准   单位：元、吨</w:t>
      </w:r>
    </w:p>
    <w:tbl>
      <w:tblPr>
        <w:tblW w:w="0" w:type="auto"/>
        <w:tblCellSpacing w:w="0" w:type="dxa"/>
        <w:shd w:val="clear" w:color="auto" w:fill="FEFEFE"/>
        <w:tblCellMar>
          <w:left w:w="0" w:type="dxa"/>
          <w:right w:w="0" w:type="dxa"/>
        </w:tblCellMar>
        <w:tblLook w:val="04A0"/>
      </w:tblPr>
      <w:tblGrid>
        <w:gridCol w:w="1787"/>
        <w:gridCol w:w="1510"/>
        <w:gridCol w:w="2174"/>
        <w:gridCol w:w="2835"/>
      </w:tblGrid>
      <w:tr w:rsidR="00852B85" w:rsidRPr="00852B85" w:rsidTr="00852B85">
        <w:trPr>
          <w:trHeight w:val="285"/>
          <w:tblCellSpacing w:w="0" w:type="dxa"/>
        </w:trPr>
        <w:tc>
          <w:tcPr>
            <w:tcW w:w="1860"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矿产种类</w:t>
            </w:r>
          </w:p>
        </w:tc>
        <w:tc>
          <w:tcPr>
            <w:tcW w:w="1560"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每吨火工品的开采量</w:t>
            </w:r>
          </w:p>
        </w:tc>
        <w:tc>
          <w:tcPr>
            <w:tcW w:w="2265"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每吨矿产的资源税税额</w:t>
            </w:r>
          </w:p>
        </w:tc>
        <w:tc>
          <w:tcPr>
            <w:tcW w:w="2835" w:type="dxa"/>
            <w:shd w:val="clear" w:color="auto" w:fill="FEFEFE"/>
            <w:noWrap/>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每吨火工品累计预征资源税额</w:t>
            </w:r>
          </w:p>
        </w:tc>
      </w:tr>
      <w:tr w:rsidR="00852B85" w:rsidRPr="00852B85" w:rsidTr="00852B85">
        <w:trPr>
          <w:trHeight w:val="285"/>
          <w:tblCellSpacing w:w="0" w:type="dxa"/>
        </w:trPr>
        <w:tc>
          <w:tcPr>
            <w:tcW w:w="1860"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石灰石</w:t>
            </w:r>
          </w:p>
        </w:tc>
        <w:tc>
          <w:tcPr>
            <w:tcW w:w="1560"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6000</w:t>
            </w:r>
          </w:p>
        </w:tc>
        <w:tc>
          <w:tcPr>
            <w:tcW w:w="2265"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3</w:t>
            </w:r>
          </w:p>
        </w:tc>
        <w:tc>
          <w:tcPr>
            <w:tcW w:w="2835" w:type="dxa"/>
            <w:shd w:val="clear" w:color="auto" w:fill="FEFEFE"/>
            <w:noWrap/>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18000</w:t>
            </w:r>
          </w:p>
        </w:tc>
      </w:tr>
      <w:tr w:rsidR="00852B85" w:rsidRPr="00852B85" w:rsidTr="00852B85">
        <w:trPr>
          <w:trHeight w:val="285"/>
          <w:tblCellSpacing w:w="0" w:type="dxa"/>
        </w:trPr>
        <w:tc>
          <w:tcPr>
            <w:tcW w:w="1860"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普通建筑石</w:t>
            </w:r>
          </w:p>
        </w:tc>
        <w:tc>
          <w:tcPr>
            <w:tcW w:w="1560"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6000</w:t>
            </w:r>
          </w:p>
        </w:tc>
        <w:tc>
          <w:tcPr>
            <w:tcW w:w="2265"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3</w:t>
            </w:r>
          </w:p>
        </w:tc>
        <w:tc>
          <w:tcPr>
            <w:tcW w:w="2835" w:type="dxa"/>
            <w:shd w:val="clear" w:color="auto" w:fill="FEFEFE"/>
            <w:noWrap/>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18000</w:t>
            </w:r>
          </w:p>
        </w:tc>
      </w:tr>
      <w:tr w:rsidR="00852B85" w:rsidRPr="00852B85" w:rsidTr="00852B85">
        <w:trPr>
          <w:trHeight w:val="285"/>
          <w:tblCellSpacing w:w="0" w:type="dxa"/>
        </w:trPr>
        <w:tc>
          <w:tcPr>
            <w:tcW w:w="1860"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lastRenderedPageBreak/>
              <w:t>花岗石</w:t>
            </w:r>
          </w:p>
        </w:tc>
        <w:tc>
          <w:tcPr>
            <w:tcW w:w="1560"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5000</w:t>
            </w:r>
          </w:p>
        </w:tc>
        <w:tc>
          <w:tcPr>
            <w:tcW w:w="2265" w:type="dxa"/>
            <w:shd w:val="clear" w:color="auto" w:fill="FEFEFE"/>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3</w:t>
            </w:r>
          </w:p>
        </w:tc>
        <w:tc>
          <w:tcPr>
            <w:tcW w:w="2835" w:type="dxa"/>
            <w:shd w:val="clear" w:color="auto" w:fill="FEFEFE"/>
            <w:noWrap/>
            <w:vAlign w:val="center"/>
            <w:hideMark/>
          </w:tcPr>
          <w:p w:rsidR="00852B85" w:rsidRPr="00852B85" w:rsidRDefault="00852B85" w:rsidP="00852B85">
            <w:pPr>
              <w:widowControl/>
              <w:spacing w:line="360" w:lineRule="atLeast"/>
              <w:jc w:val="center"/>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15000</w:t>
            </w:r>
          </w:p>
        </w:tc>
      </w:tr>
    </w:tbl>
    <w:p w:rsidR="00852B85" w:rsidRPr="00852B85" w:rsidRDefault="00852B85" w:rsidP="00852B85">
      <w:pPr>
        <w:widowControl/>
        <w:jc w:val="left"/>
        <w:rPr>
          <w:rFonts w:ascii="宋体" w:eastAsia="宋体" w:hAnsi="宋体" w:cs="宋体" w:hint="eastAsia"/>
          <w:color w:val="0D0D0D" w:themeColor="text1" w:themeTint="F2"/>
          <w:kern w:val="0"/>
          <w:sz w:val="24"/>
          <w:szCs w:val="24"/>
        </w:rPr>
      </w:pPr>
      <w:r w:rsidRPr="00852B85">
        <w:rPr>
          <w:rFonts w:ascii="宋体" w:eastAsia="宋体" w:hAnsi="宋体" w:cs="宋体" w:hint="eastAsia"/>
          <w:color w:val="0D0D0D" w:themeColor="text1" w:themeTint="F2"/>
          <w:kern w:val="0"/>
          <w:szCs w:val="21"/>
          <w:shd w:val="clear" w:color="auto" w:fill="FEFEFE"/>
        </w:rPr>
        <w:t> </w:t>
      </w:r>
    </w:p>
    <w:p w:rsidR="00852B85" w:rsidRPr="00852B85" w:rsidRDefault="00852B85" w:rsidP="00852B85">
      <w:pPr>
        <w:widowControl/>
        <w:shd w:val="clear" w:color="auto" w:fill="FEFEFE"/>
        <w:spacing w:line="360" w:lineRule="atLeast"/>
        <w:jc w:val="left"/>
        <w:rPr>
          <w:rFonts w:ascii="宋体" w:eastAsia="宋体" w:hAnsi="宋体" w:cs="宋体"/>
          <w:color w:val="0D0D0D" w:themeColor="text1" w:themeTint="F2"/>
          <w:kern w:val="0"/>
          <w:szCs w:val="21"/>
        </w:rPr>
      </w:pPr>
      <w:r w:rsidRPr="00852B85">
        <w:rPr>
          <w:rFonts w:ascii="宋体" w:eastAsia="宋体" w:hAnsi="宋体" w:cs="宋体" w:hint="eastAsia"/>
          <w:color w:val="0D0D0D" w:themeColor="text1" w:themeTint="F2"/>
          <w:kern w:val="0"/>
          <w:szCs w:val="21"/>
        </w:rPr>
        <w:t xml:space="preserve">　　四、征收管理</w:t>
      </w:r>
      <w:r w:rsidRPr="00852B85">
        <w:rPr>
          <w:rFonts w:ascii="宋体" w:eastAsia="宋体" w:hAnsi="宋体" w:cs="宋体" w:hint="eastAsia"/>
          <w:color w:val="0D0D0D" w:themeColor="text1" w:themeTint="F2"/>
          <w:kern w:val="0"/>
          <w:szCs w:val="21"/>
        </w:rPr>
        <w:br/>
        <w:t xml:space="preserve">　　(</w:t>
      </w:r>
      <w:proofErr w:type="gramStart"/>
      <w:r w:rsidRPr="00852B85">
        <w:rPr>
          <w:rFonts w:ascii="宋体" w:eastAsia="宋体" w:hAnsi="宋体" w:cs="宋体" w:hint="eastAsia"/>
          <w:color w:val="0D0D0D" w:themeColor="text1" w:themeTint="F2"/>
          <w:kern w:val="0"/>
          <w:szCs w:val="21"/>
        </w:rPr>
        <w:t>一</w:t>
      </w:r>
      <w:proofErr w:type="gramEnd"/>
      <w:r w:rsidRPr="00852B85">
        <w:rPr>
          <w:rFonts w:ascii="宋体" w:eastAsia="宋体" w:hAnsi="宋体" w:cs="宋体" w:hint="eastAsia"/>
          <w:color w:val="0D0D0D" w:themeColor="text1" w:themeTint="F2"/>
          <w:kern w:val="0"/>
          <w:szCs w:val="21"/>
        </w:rPr>
        <w:t>)加强纳税主体的确认管理。湖州市本级范围内从事建筑石、石灰石、花岗石等矿产资源开采和销售的单位为纳税义务人。在征收环节应加强对矿产资源开采和销售纳税义务人的确认管理。</w:t>
      </w:r>
      <w:r w:rsidRPr="00852B85">
        <w:rPr>
          <w:rFonts w:ascii="宋体" w:eastAsia="宋体" w:hAnsi="宋体" w:cs="宋体" w:hint="eastAsia"/>
          <w:color w:val="0D0D0D" w:themeColor="text1" w:themeTint="F2"/>
          <w:kern w:val="0"/>
          <w:szCs w:val="21"/>
        </w:rPr>
        <w:br/>
        <w:t xml:space="preserve">　　(二)加强应税矿产品种类的确认管理。应税矿产品种类以国土管理部门出具的有效证明确认。</w:t>
      </w:r>
      <w:r w:rsidRPr="00852B85">
        <w:rPr>
          <w:rFonts w:ascii="宋体" w:eastAsia="宋体" w:hAnsi="宋体" w:cs="宋体" w:hint="eastAsia"/>
          <w:color w:val="0D0D0D" w:themeColor="text1" w:themeTint="F2"/>
          <w:kern w:val="0"/>
          <w:szCs w:val="21"/>
        </w:rPr>
        <w:br/>
        <w:t xml:space="preserve">　　(三)加强对代征单位的监督管理。做好对代征单位有关采矿</w:t>
      </w:r>
      <w:proofErr w:type="gramStart"/>
      <w:r w:rsidRPr="00852B85">
        <w:rPr>
          <w:rFonts w:ascii="宋体" w:eastAsia="宋体" w:hAnsi="宋体" w:cs="宋体" w:hint="eastAsia"/>
          <w:color w:val="0D0D0D" w:themeColor="text1" w:themeTint="F2"/>
          <w:kern w:val="0"/>
          <w:szCs w:val="21"/>
        </w:rPr>
        <w:t>业税收</w:t>
      </w:r>
      <w:proofErr w:type="gramEnd"/>
      <w:r w:rsidRPr="00852B85">
        <w:rPr>
          <w:rFonts w:ascii="宋体" w:eastAsia="宋体" w:hAnsi="宋体" w:cs="宋体" w:hint="eastAsia"/>
          <w:color w:val="0D0D0D" w:themeColor="text1" w:themeTint="F2"/>
          <w:kern w:val="0"/>
          <w:szCs w:val="21"/>
        </w:rPr>
        <w:t>政策的辅导，督促代征单位建立代征资源税和火工品供应明细台账，强化对代征单位票证领用和保管的检查。</w:t>
      </w:r>
      <w:r w:rsidRPr="00852B85">
        <w:rPr>
          <w:rFonts w:ascii="宋体" w:eastAsia="宋体" w:hAnsi="宋体" w:cs="宋体" w:hint="eastAsia"/>
          <w:color w:val="0D0D0D" w:themeColor="text1" w:themeTint="F2"/>
          <w:kern w:val="0"/>
          <w:szCs w:val="21"/>
        </w:rPr>
        <w:br/>
        <w:t xml:space="preserve">　　(四)强化年度结算。税务部门将根据国土部门资源出让量、资源开挖量实测数及国税部门销售数量等数据加强分析，强化采矿</w:t>
      </w:r>
      <w:proofErr w:type="gramStart"/>
      <w:r w:rsidRPr="00852B85">
        <w:rPr>
          <w:rFonts w:ascii="宋体" w:eastAsia="宋体" w:hAnsi="宋体" w:cs="宋体" w:hint="eastAsia"/>
          <w:color w:val="0D0D0D" w:themeColor="text1" w:themeTint="F2"/>
          <w:kern w:val="0"/>
          <w:szCs w:val="21"/>
        </w:rPr>
        <w:t>业资源</w:t>
      </w:r>
      <w:proofErr w:type="gramEnd"/>
      <w:r w:rsidRPr="00852B85">
        <w:rPr>
          <w:rFonts w:ascii="宋体" w:eastAsia="宋体" w:hAnsi="宋体" w:cs="宋体" w:hint="eastAsia"/>
          <w:color w:val="0D0D0D" w:themeColor="text1" w:themeTint="F2"/>
          <w:kern w:val="0"/>
          <w:szCs w:val="21"/>
        </w:rPr>
        <w:t>税年度结算工作。纳税人未按规定申报纳税的，按《中华人民共和国税收征管法》有关规定予以处理。</w:t>
      </w:r>
    </w:p>
    <w:p w:rsidR="00852B85" w:rsidRPr="00852B85" w:rsidRDefault="00852B85" w:rsidP="00852B85">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852B85">
        <w:rPr>
          <w:rFonts w:ascii="宋体" w:eastAsia="宋体" w:hAnsi="宋体" w:cs="宋体" w:hint="eastAsia"/>
          <w:color w:val="0D0D0D" w:themeColor="text1" w:themeTint="F2"/>
          <w:kern w:val="0"/>
          <w:szCs w:val="21"/>
        </w:rPr>
        <w:t xml:space="preserve">　　本通知自二Ο一四年九月十日起执行。原《湖州市地方税务局关于进一步加强采矿业地方税收征收管理的通知》(湖地税政[2007]119号)同时废止。</w:t>
      </w:r>
    </w:p>
    <w:p w:rsidR="00BD3C06" w:rsidRPr="00852B85" w:rsidRDefault="00BD3C06">
      <w:pPr>
        <w:rPr>
          <w:color w:val="0D0D0D" w:themeColor="text1" w:themeTint="F2"/>
        </w:rPr>
      </w:pPr>
    </w:p>
    <w:sectPr w:rsidR="00BD3C06" w:rsidRPr="00852B85"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2B85"/>
    <w:rsid w:val="000E2AC9"/>
    <w:rsid w:val="002D3576"/>
    <w:rsid w:val="00852B85"/>
    <w:rsid w:val="00910E51"/>
    <w:rsid w:val="00A375D1"/>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852B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41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1235</Characters>
  <Application>Microsoft Office Word</Application>
  <DocSecurity>0</DocSecurity>
  <Lines>10</Lines>
  <Paragraphs>2</Paragraphs>
  <ScaleCrop>false</ScaleCrop>
  <Company>Microsoft</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2014-09-25T03:35:00Z</dcterms:created>
  <dcterms:modified xsi:type="dcterms:W3CDTF">2014-09-25T03:36:00Z</dcterms:modified>
</cp:coreProperties>
</file>