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shd w:val="clear" w:color="auto" w:fill="FEFEFE"/>
        <w:tblCellMar>
          <w:top w:w="15" w:type="dxa"/>
          <w:left w:w="15" w:type="dxa"/>
          <w:bottom w:w="15" w:type="dxa"/>
          <w:right w:w="15" w:type="dxa"/>
        </w:tblCellMar>
        <w:tblLook w:val="04A0"/>
      </w:tblPr>
      <w:tblGrid>
        <w:gridCol w:w="8396"/>
      </w:tblGrid>
      <w:tr w:rsidR="002C5B8C" w:rsidRPr="002C5B8C" w:rsidTr="002C5B8C">
        <w:trPr>
          <w:tblCellSpacing w:w="15" w:type="dxa"/>
        </w:trPr>
        <w:tc>
          <w:tcPr>
            <w:tcW w:w="0" w:type="auto"/>
            <w:shd w:val="clear" w:color="auto" w:fill="FEFEFE"/>
            <w:vAlign w:val="center"/>
            <w:hideMark/>
          </w:tcPr>
          <w:p w:rsidR="002C5B8C" w:rsidRPr="002C5B8C" w:rsidRDefault="002C5B8C" w:rsidP="002C5B8C">
            <w:pPr>
              <w:widowControl/>
              <w:spacing w:line="360" w:lineRule="atLeast"/>
              <w:jc w:val="center"/>
              <w:rPr>
                <w:rFonts w:ascii="宋体" w:eastAsia="宋体" w:hAnsi="宋体" w:cs="宋体" w:hint="eastAsia"/>
                <w:color w:val="0D0D0D" w:themeColor="text1" w:themeTint="F2"/>
                <w:kern w:val="0"/>
                <w:szCs w:val="21"/>
              </w:rPr>
            </w:pPr>
            <w:r w:rsidRPr="002C5B8C">
              <w:rPr>
                <w:rFonts w:ascii="宋体" w:eastAsia="宋体" w:hAnsi="宋体" w:cs="宋体" w:hint="eastAsia"/>
                <w:color w:val="0D0D0D" w:themeColor="text1" w:themeTint="F2"/>
                <w:kern w:val="0"/>
                <w:szCs w:val="21"/>
              </w:rPr>
              <w:t>四川省地方税务局大企业税收管理处关于抽调人员参加中国石油天然气集团公司等8户企业集团在川成员企业案头审计工作的补充通知</w:t>
            </w:r>
          </w:p>
          <w:p w:rsidR="002C5B8C" w:rsidRPr="002C5B8C" w:rsidRDefault="002C5B8C" w:rsidP="002C5B8C">
            <w:pPr>
              <w:widowControl/>
              <w:spacing w:line="360" w:lineRule="atLeast"/>
              <w:jc w:val="center"/>
              <w:rPr>
                <w:rFonts w:ascii="宋体" w:eastAsia="宋体" w:hAnsi="宋体" w:cs="宋体" w:hint="eastAsia"/>
                <w:color w:val="0D0D0D" w:themeColor="text1" w:themeTint="F2"/>
                <w:kern w:val="0"/>
                <w:szCs w:val="21"/>
              </w:rPr>
            </w:pPr>
            <w:r w:rsidRPr="002C5B8C">
              <w:rPr>
                <w:rFonts w:ascii="宋体" w:eastAsia="宋体" w:hAnsi="宋体" w:cs="宋体" w:hint="eastAsia"/>
                <w:color w:val="0D0D0D" w:themeColor="text1" w:themeTint="F2"/>
                <w:kern w:val="0"/>
                <w:szCs w:val="21"/>
              </w:rPr>
              <w:t>川地税企便函〔2014〕8号                                   2014.7.15</w:t>
            </w:r>
          </w:p>
          <w:p w:rsidR="002C5B8C" w:rsidRPr="002C5B8C" w:rsidRDefault="002C5B8C" w:rsidP="002C5B8C">
            <w:pPr>
              <w:widowControl/>
              <w:spacing w:line="360" w:lineRule="atLeast"/>
              <w:jc w:val="left"/>
              <w:rPr>
                <w:rFonts w:ascii="宋体" w:eastAsia="宋体" w:hAnsi="宋体" w:cs="宋体" w:hint="eastAsia"/>
                <w:color w:val="0D0D0D" w:themeColor="text1" w:themeTint="F2"/>
                <w:kern w:val="0"/>
                <w:szCs w:val="21"/>
              </w:rPr>
            </w:pPr>
            <w:r w:rsidRPr="002C5B8C">
              <w:rPr>
                <w:rFonts w:ascii="宋体" w:eastAsia="宋体" w:hAnsi="宋体" w:cs="宋体" w:hint="eastAsia"/>
                <w:color w:val="0D0D0D" w:themeColor="text1" w:themeTint="F2"/>
                <w:kern w:val="0"/>
                <w:szCs w:val="21"/>
              </w:rPr>
              <w:t>各市（州）局、省局直属税务分局、稽查局：</w:t>
            </w:r>
          </w:p>
          <w:p w:rsidR="002C5B8C" w:rsidRPr="002C5B8C" w:rsidRDefault="002C5B8C" w:rsidP="002C5B8C">
            <w:pPr>
              <w:widowControl/>
              <w:spacing w:line="360" w:lineRule="atLeast"/>
              <w:jc w:val="left"/>
              <w:rPr>
                <w:rFonts w:ascii="宋体" w:eastAsia="宋体" w:hAnsi="宋体" w:cs="宋体" w:hint="eastAsia"/>
                <w:color w:val="0D0D0D" w:themeColor="text1" w:themeTint="F2"/>
                <w:kern w:val="0"/>
                <w:szCs w:val="21"/>
              </w:rPr>
            </w:pPr>
            <w:r w:rsidRPr="002C5B8C">
              <w:rPr>
                <w:rFonts w:ascii="宋体" w:eastAsia="宋体" w:hAnsi="宋体" w:cs="宋体" w:hint="eastAsia"/>
                <w:color w:val="0D0D0D" w:themeColor="text1" w:themeTint="F2"/>
                <w:kern w:val="0"/>
                <w:szCs w:val="21"/>
              </w:rPr>
              <w:t>省局人事处已下发《关于抽调人员参加中国石油天然气集团公司等8户企业集团在川成员企业案头审计工作的通知》，根据大企业税收风险管理工作要求，现将未尽事项补充通知如下：</w:t>
            </w:r>
          </w:p>
          <w:p w:rsidR="002C5B8C" w:rsidRPr="002C5B8C" w:rsidRDefault="002C5B8C" w:rsidP="002C5B8C">
            <w:pPr>
              <w:widowControl/>
              <w:spacing w:line="360" w:lineRule="atLeast"/>
              <w:jc w:val="left"/>
              <w:rPr>
                <w:rFonts w:ascii="宋体" w:eastAsia="宋体" w:hAnsi="宋体" w:cs="宋体" w:hint="eastAsia"/>
                <w:color w:val="0D0D0D" w:themeColor="text1" w:themeTint="F2"/>
                <w:kern w:val="0"/>
                <w:szCs w:val="21"/>
              </w:rPr>
            </w:pPr>
            <w:r w:rsidRPr="002C5B8C">
              <w:rPr>
                <w:rFonts w:ascii="宋体" w:eastAsia="宋体" w:hAnsi="宋体" w:cs="宋体" w:hint="eastAsia"/>
                <w:color w:val="0D0D0D" w:themeColor="text1" w:themeTint="F2"/>
                <w:kern w:val="0"/>
                <w:szCs w:val="21"/>
              </w:rPr>
              <w:t>一、案头审计工作是总局大企业专业化管理的重要措施，同时也是今年省局促征管保收入的有力手段。总局、省局已将此项工作纳入今年绩效考核，各地要高度重视，认真组织，选派业务骨干力量参加。</w:t>
            </w:r>
          </w:p>
          <w:p w:rsidR="002C5B8C" w:rsidRPr="002C5B8C" w:rsidRDefault="002C5B8C" w:rsidP="002C5B8C">
            <w:pPr>
              <w:widowControl/>
              <w:spacing w:line="360" w:lineRule="atLeast"/>
              <w:jc w:val="left"/>
              <w:rPr>
                <w:rFonts w:ascii="宋体" w:eastAsia="宋体" w:hAnsi="宋体" w:cs="宋体" w:hint="eastAsia"/>
                <w:color w:val="0D0D0D" w:themeColor="text1" w:themeTint="F2"/>
                <w:kern w:val="0"/>
                <w:szCs w:val="21"/>
              </w:rPr>
            </w:pPr>
            <w:r w:rsidRPr="002C5B8C">
              <w:rPr>
                <w:rFonts w:ascii="宋体" w:eastAsia="宋体" w:hAnsi="宋体" w:cs="宋体" w:hint="eastAsia"/>
                <w:color w:val="0D0D0D" w:themeColor="text1" w:themeTint="F2"/>
                <w:kern w:val="0"/>
                <w:szCs w:val="21"/>
              </w:rPr>
              <w:t>二、案头审计需使用税务审计软件审核企业财务数据，抽调人员要自行携带笔记本电脑和U盘( 16G)，笔记本电脑最低配置要求如下：</w:t>
            </w:r>
          </w:p>
          <w:tbl>
            <w:tblPr>
              <w:tblW w:w="6810" w:type="dxa"/>
              <w:tblInd w:w="8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84"/>
              <w:gridCol w:w="5426"/>
            </w:tblGrid>
            <w:tr w:rsidR="002C5B8C" w:rsidRPr="002C5B8C">
              <w:tc>
                <w:tcPr>
                  <w:tcW w:w="13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C5B8C" w:rsidRPr="002C5B8C" w:rsidRDefault="002C5B8C" w:rsidP="002C5B8C">
                  <w:pPr>
                    <w:widowControl/>
                    <w:spacing w:before="100" w:beforeAutospacing="1" w:after="100" w:afterAutospacing="1"/>
                    <w:jc w:val="center"/>
                    <w:rPr>
                      <w:rFonts w:ascii="宋体" w:eastAsia="宋体" w:hAnsi="宋体" w:cs="宋体"/>
                      <w:color w:val="0D0D0D" w:themeColor="text1" w:themeTint="F2"/>
                      <w:kern w:val="0"/>
                      <w:sz w:val="24"/>
                      <w:szCs w:val="24"/>
                    </w:rPr>
                  </w:pPr>
                  <w:r w:rsidRPr="002C5B8C">
                    <w:rPr>
                      <w:rFonts w:ascii="宋体" w:eastAsia="宋体" w:hAnsi="宋体" w:cs="宋体"/>
                      <w:color w:val="0D0D0D" w:themeColor="text1" w:themeTint="F2"/>
                      <w:kern w:val="0"/>
                      <w:sz w:val="24"/>
                      <w:szCs w:val="24"/>
                    </w:rPr>
                    <w:t>CPU</w:t>
                  </w:r>
                </w:p>
              </w:tc>
              <w:tc>
                <w:tcPr>
                  <w:tcW w:w="0" w:type="auto"/>
                  <w:tcBorders>
                    <w:top w:val="outset" w:sz="6" w:space="0" w:color="auto"/>
                    <w:left w:val="outset" w:sz="6" w:space="0" w:color="auto"/>
                    <w:bottom w:val="outset" w:sz="6" w:space="0" w:color="auto"/>
                    <w:right w:val="outset" w:sz="6" w:space="0" w:color="auto"/>
                  </w:tcBorders>
                  <w:vAlign w:val="center"/>
                  <w:hideMark/>
                </w:tcPr>
                <w:p w:rsidR="002C5B8C" w:rsidRPr="002C5B8C" w:rsidRDefault="002C5B8C" w:rsidP="002C5B8C">
                  <w:pPr>
                    <w:widowControl/>
                    <w:spacing w:before="100" w:beforeAutospacing="1" w:after="100" w:afterAutospacing="1"/>
                    <w:jc w:val="center"/>
                    <w:rPr>
                      <w:rFonts w:ascii="宋体" w:eastAsia="宋体" w:hAnsi="宋体" w:cs="宋体"/>
                      <w:color w:val="0D0D0D" w:themeColor="text1" w:themeTint="F2"/>
                      <w:kern w:val="0"/>
                      <w:sz w:val="24"/>
                      <w:szCs w:val="24"/>
                    </w:rPr>
                  </w:pPr>
                  <w:r w:rsidRPr="002C5B8C">
                    <w:rPr>
                      <w:rFonts w:ascii="宋体" w:eastAsia="宋体" w:hAnsi="宋体" w:cs="宋体"/>
                      <w:color w:val="0D0D0D" w:themeColor="text1" w:themeTint="F2"/>
                      <w:kern w:val="0"/>
                      <w:sz w:val="24"/>
                      <w:szCs w:val="24"/>
                    </w:rPr>
                    <w:t>I5</w:t>
                  </w:r>
                  <w:proofErr w:type="gramStart"/>
                  <w:r w:rsidRPr="002C5B8C">
                    <w:rPr>
                      <w:rFonts w:ascii="宋体" w:eastAsia="宋体" w:hAnsi="宋体" w:cs="宋体"/>
                      <w:color w:val="0D0D0D" w:themeColor="text1" w:themeTint="F2"/>
                      <w:kern w:val="0"/>
                      <w:sz w:val="24"/>
                      <w:szCs w:val="24"/>
                    </w:rPr>
                    <w:t>四</w:t>
                  </w:r>
                  <w:proofErr w:type="gramEnd"/>
                  <w:r w:rsidRPr="002C5B8C">
                    <w:rPr>
                      <w:rFonts w:ascii="宋体" w:eastAsia="宋体" w:hAnsi="宋体" w:cs="宋体"/>
                      <w:color w:val="0D0D0D" w:themeColor="text1" w:themeTint="F2"/>
                      <w:kern w:val="0"/>
                      <w:sz w:val="24"/>
                      <w:szCs w:val="24"/>
                    </w:rPr>
                    <w:t>核CPU</w:t>
                  </w:r>
                </w:p>
              </w:tc>
            </w:tr>
            <w:tr w:rsidR="002C5B8C" w:rsidRPr="002C5B8C">
              <w:tc>
                <w:tcPr>
                  <w:tcW w:w="0" w:type="auto"/>
                  <w:tcBorders>
                    <w:top w:val="outset" w:sz="6" w:space="0" w:color="auto"/>
                    <w:left w:val="outset" w:sz="6" w:space="0" w:color="auto"/>
                    <w:bottom w:val="outset" w:sz="6" w:space="0" w:color="auto"/>
                    <w:right w:val="outset" w:sz="6" w:space="0" w:color="auto"/>
                  </w:tcBorders>
                  <w:vAlign w:val="center"/>
                  <w:hideMark/>
                </w:tcPr>
                <w:p w:rsidR="002C5B8C" w:rsidRPr="002C5B8C" w:rsidRDefault="002C5B8C" w:rsidP="002C5B8C">
                  <w:pPr>
                    <w:widowControl/>
                    <w:spacing w:before="100" w:beforeAutospacing="1" w:after="100" w:afterAutospacing="1"/>
                    <w:jc w:val="center"/>
                    <w:rPr>
                      <w:rFonts w:ascii="宋体" w:eastAsia="宋体" w:hAnsi="宋体" w:cs="宋体"/>
                      <w:color w:val="0D0D0D" w:themeColor="text1" w:themeTint="F2"/>
                      <w:kern w:val="0"/>
                      <w:sz w:val="24"/>
                      <w:szCs w:val="24"/>
                    </w:rPr>
                  </w:pPr>
                  <w:r w:rsidRPr="002C5B8C">
                    <w:rPr>
                      <w:rFonts w:ascii="宋体" w:eastAsia="宋体" w:hAnsi="宋体" w:cs="宋体"/>
                      <w:color w:val="0D0D0D" w:themeColor="text1" w:themeTint="F2"/>
                      <w:kern w:val="0"/>
                      <w:sz w:val="24"/>
                      <w:szCs w:val="24"/>
                    </w:rPr>
                    <w:t>内存</w:t>
                  </w:r>
                </w:p>
              </w:tc>
              <w:tc>
                <w:tcPr>
                  <w:tcW w:w="0" w:type="auto"/>
                  <w:tcBorders>
                    <w:top w:val="outset" w:sz="6" w:space="0" w:color="auto"/>
                    <w:left w:val="outset" w:sz="6" w:space="0" w:color="auto"/>
                    <w:bottom w:val="outset" w:sz="6" w:space="0" w:color="auto"/>
                    <w:right w:val="outset" w:sz="6" w:space="0" w:color="auto"/>
                  </w:tcBorders>
                  <w:vAlign w:val="center"/>
                  <w:hideMark/>
                </w:tcPr>
                <w:p w:rsidR="002C5B8C" w:rsidRPr="002C5B8C" w:rsidRDefault="002C5B8C" w:rsidP="002C5B8C">
                  <w:pPr>
                    <w:widowControl/>
                    <w:spacing w:before="100" w:beforeAutospacing="1" w:after="100" w:afterAutospacing="1"/>
                    <w:jc w:val="center"/>
                    <w:rPr>
                      <w:rFonts w:ascii="宋体" w:eastAsia="宋体" w:hAnsi="宋体" w:cs="宋体"/>
                      <w:color w:val="0D0D0D" w:themeColor="text1" w:themeTint="F2"/>
                      <w:kern w:val="0"/>
                      <w:sz w:val="24"/>
                      <w:szCs w:val="24"/>
                    </w:rPr>
                  </w:pPr>
                  <w:r w:rsidRPr="002C5B8C">
                    <w:rPr>
                      <w:rFonts w:ascii="宋体" w:eastAsia="宋体" w:hAnsi="宋体" w:cs="宋体"/>
                      <w:color w:val="0D0D0D" w:themeColor="text1" w:themeTint="F2"/>
                      <w:kern w:val="0"/>
                      <w:sz w:val="24"/>
                      <w:szCs w:val="24"/>
                    </w:rPr>
                    <w:t> </w:t>
                  </w:r>
                </w:p>
                <w:p w:rsidR="002C5B8C" w:rsidRPr="002C5B8C" w:rsidRDefault="002C5B8C" w:rsidP="002C5B8C">
                  <w:pPr>
                    <w:widowControl/>
                    <w:spacing w:before="100" w:beforeAutospacing="1" w:after="100" w:afterAutospacing="1"/>
                    <w:jc w:val="center"/>
                    <w:rPr>
                      <w:rFonts w:ascii="宋体" w:eastAsia="宋体" w:hAnsi="宋体" w:cs="宋体"/>
                      <w:color w:val="0D0D0D" w:themeColor="text1" w:themeTint="F2"/>
                      <w:kern w:val="0"/>
                      <w:sz w:val="24"/>
                      <w:szCs w:val="24"/>
                    </w:rPr>
                  </w:pPr>
                  <w:r w:rsidRPr="002C5B8C">
                    <w:rPr>
                      <w:rFonts w:ascii="宋体" w:eastAsia="宋体" w:hAnsi="宋体" w:cs="宋体"/>
                      <w:color w:val="0D0D0D" w:themeColor="text1" w:themeTint="F2"/>
                      <w:kern w:val="0"/>
                      <w:sz w:val="24"/>
                      <w:szCs w:val="24"/>
                    </w:rPr>
                    <w:t>4GB</w:t>
                  </w:r>
                </w:p>
                <w:p w:rsidR="002C5B8C" w:rsidRPr="002C5B8C" w:rsidRDefault="002C5B8C" w:rsidP="002C5B8C">
                  <w:pPr>
                    <w:widowControl/>
                    <w:spacing w:before="100" w:beforeAutospacing="1" w:after="100" w:afterAutospacing="1"/>
                    <w:jc w:val="center"/>
                    <w:rPr>
                      <w:rFonts w:ascii="宋体" w:eastAsia="宋体" w:hAnsi="宋体" w:cs="宋体"/>
                      <w:color w:val="0D0D0D" w:themeColor="text1" w:themeTint="F2"/>
                      <w:kern w:val="0"/>
                      <w:sz w:val="24"/>
                      <w:szCs w:val="24"/>
                    </w:rPr>
                  </w:pPr>
                  <w:r w:rsidRPr="002C5B8C">
                    <w:rPr>
                      <w:rFonts w:ascii="宋体" w:eastAsia="宋体" w:hAnsi="宋体" w:cs="宋体"/>
                      <w:color w:val="0D0D0D" w:themeColor="text1" w:themeTint="F2"/>
                      <w:kern w:val="0"/>
                      <w:sz w:val="24"/>
                      <w:szCs w:val="24"/>
                    </w:rPr>
                    <w:t> </w:t>
                  </w:r>
                </w:p>
              </w:tc>
            </w:tr>
            <w:tr w:rsidR="002C5B8C" w:rsidRPr="002C5B8C">
              <w:tc>
                <w:tcPr>
                  <w:tcW w:w="0" w:type="auto"/>
                  <w:tcBorders>
                    <w:top w:val="outset" w:sz="6" w:space="0" w:color="auto"/>
                    <w:left w:val="outset" w:sz="6" w:space="0" w:color="auto"/>
                    <w:bottom w:val="outset" w:sz="6" w:space="0" w:color="auto"/>
                    <w:right w:val="outset" w:sz="6" w:space="0" w:color="auto"/>
                  </w:tcBorders>
                  <w:vAlign w:val="center"/>
                  <w:hideMark/>
                </w:tcPr>
                <w:p w:rsidR="002C5B8C" w:rsidRPr="002C5B8C" w:rsidRDefault="002C5B8C" w:rsidP="002C5B8C">
                  <w:pPr>
                    <w:widowControl/>
                    <w:spacing w:before="100" w:beforeAutospacing="1" w:after="100" w:afterAutospacing="1"/>
                    <w:jc w:val="center"/>
                    <w:rPr>
                      <w:rFonts w:ascii="宋体" w:eastAsia="宋体" w:hAnsi="宋体" w:cs="宋体"/>
                      <w:color w:val="0D0D0D" w:themeColor="text1" w:themeTint="F2"/>
                      <w:kern w:val="0"/>
                      <w:sz w:val="24"/>
                      <w:szCs w:val="24"/>
                    </w:rPr>
                  </w:pPr>
                  <w:r w:rsidRPr="002C5B8C">
                    <w:rPr>
                      <w:rFonts w:ascii="宋体" w:eastAsia="宋体" w:hAnsi="宋体" w:cs="宋体"/>
                      <w:color w:val="0D0D0D" w:themeColor="text1" w:themeTint="F2"/>
                      <w:kern w:val="0"/>
                      <w:sz w:val="24"/>
                      <w:szCs w:val="24"/>
                    </w:rPr>
                    <w:t>硬盘</w:t>
                  </w:r>
                </w:p>
              </w:tc>
              <w:tc>
                <w:tcPr>
                  <w:tcW w:w="0" w:type="auto"/>
                  <w:tcBorders>
                    <w:top w:val="outset" w:sz="6" w:space="0" w:color="auto"/>
                    <w:left w:val="outset" w:sz="6" w:space="0" w:color="auto"/>
                    <w:bottom w:val="outset" w:sz="6" w:space="0" w:color="auto"/>
                    <w:right w:val="outset" w:sz="6" w:space="0" w:color="auto"/>
                  </w:tcBorders>
                  <w:vAlign w:val="center"/>
                  <w:hideMark/>
                </w:tcPr>
                <w:p w:rsidR="002C5B8C" w:rsidRPr="002C5B8C" w:rsidRDefault="002C5B8C" w:rsidP="002C5B8C">
                  <w:pPr>
                    <w:widowControl/>
                    <w:spacing w:before="100" w:beforeAutospacing="1" w:after="100" w:afterAutospacing="1"/>
                    <w:jc w:val="center"/>
                    <w:rPr>
                      <w:rFonts w:ascii="宋体" w:eastAsia="宋体" w:hAnsi="宋体" w:cs="宋体"/>
                      <w:color w:val="0D0D0D" w:themeColor="text1" w:themeTint="F2"/>
                      <w:kern w:val="0"/>
                      <w:sz w:val="24"/>
                      <w:szCs w:val="24"/>
                    </w:rPr>
                  </w:pPr>
                  <w:r w:rsidRPr="002C5B8C">
                    <w:rPr>
                      <w:rFonts w:ascii="宋体" w:eastAsia="宋体" w:hAnsi="宋体" w:cs="宋体"/>
                      <w:color w:val="0D0D0D" w:themeColor="text1" w:themeTint="F2"/>
                      <w:kern w:val="0"/>
                      <w:sz w:val="24"/>
                      <w:szCs w:val="24"/>
                    </w:rPr>
                    <w:t>500GB</w:t>
                  </w:r>
                </w:p>
              </w:tc>
            </w:tr>
            <w:tr w:rsidR="002C5B8C" w:rsidRPr="002C5B8C">
              <w:tc>
                <w:tcPr>
                  <w:tcW w:w="0" w:type="auto"/>
                  <w:tcBorders>
                    <w:top w:val="outset" w:sz="6" w:space="0" w:color="auto"/>
                    <w:left w:val="outset" w:sz="6" w:space="0" w:color="auto"/>
                    <w:bottom w:val="outset" w:sz="6" w:space="0" w:color="auto"/>
                    <w:right w:val="outset" w:sz="6" w:space="0" w:color="auto"/>
                  </w:tcBorders>
                  <w:vAlign w:val="center"/>
                  <w:hideMark/>
                </w:tcPr>
                <w:p w:rsidR="002C5B8C" w:rsidRPr="002C5B8C" w:rsidRDefault="002C5B8C" w:rsidP="002C5B8C">
                  <w:pPr>
                    <w:widowControl/>
                    <w:spacing w:before="100" w:beforeAutospacing="1" w:after="100" w:afterAutospacing="1"/>
                    <w:jc w:val="center"/>
                    <w:rPr>
                      <w:rFonts w:ascii="宋体" w:eastAsia="宋体" w:hAnsi="宋体" w:cs="宋体"/>
                      <w:color w:val="0D0D0D" w:themeColor="text1" w:themeTint="F2"/>
                      <w:kern w:val="0"/>
                      <w:sz w:val="24"/>
                      <w:szCs w:val="24"/>
                    </w:rPr>
                  </w:pPr>
                  <w:r w:rsidRPr="002C5B8C">
                    <w:rPr>
                      <w:rFonts w:ascii="宋体" w:eastAsia="宋体" w:hAnsi="宋体" w:cs="宋体"/>
                      <w:color w:val="0D0D0D" w:themeColor="text1" w:themeTint="F2"/>
                      <w:kern w:val="0"/>
                      <w:sz w:val="24"/>
                      <w:szCs w:val="24"/>
                    </w:rPr>
                    <w:t>数据库</w:t>
                  </w:r>
                </w:p>
              </w:tc>
              <w:tc>
                <w:tcPr>
                  <w:tcW w:w="0" w:type="auto"/>
                  <w:tcBorders>
                    <w:top w:val="outset" w:sz="6" w:space="0" w:color="auto"/>
                    <w:left w:val="outset" w:sz="6" w:space="0" w:color="auto"/>
                    <w:bottom w:val="outset" w:sz="6" w:space="0" w:color="auto"/>
                    <w:right w:val="outset" w:sz="6" w:space="0" w:color="auto"/>
                  </w:tcBorders>
                  <w:vAlign w:val="center"/>
                  <w:hideMark/>
                </w:tcPr>
                <w:p w:rsidR="002C5B8C" w:rsidRPr="002C5B8C" w:rsidRDefault="002C5B8C" w:rsidP="002C5B8C">
                  <w:pPr>
                    <w:widowControl/>
                    <w:spacing w:before="100" w:beforeAutospacing="1" w:after="100" w:afterAutospacing="1"/>
                    <w:jc w:val="center"/>
                    <w:rPr>
                      <w:rFonts w:ascii="宋体" w:eastAsia="宋体" w:hAnsi="宋体" w:cs="宋体"/>
                      <w:color w:val="0D0D0D" w:themeColor="text1" w:themeTint="F2"/>
                      <w:kern w:val="0"/>
                      <w:sz w:val="24"/>
                      <w:szCs w:val="24"/>
                    </w:rPr>
                  </w:pPr>
                  <w:r w:rsidRPr="002C5B8C">
                    <w:rPr>
                      <w:rFonts w:ascii="宋体" w:eastAsia="宋体" w:hAnsi="宋体" w:cs="宋体"/>
                      <w:color w:val="0D0D0D" w:themeColor="text1" w:themeTint="F2"/>
                      <w:kern w:val="0"/>
                      <w:sz w:val="24"/>
                      <w:szCs w:val="24"/>
                    </w:rPr>
                    <w:t>SQL SERVER企业版</w:t>
                  </w:r>
                </w:p>
              </w:tc>
            </w:tr>
            <w:tr w:rsidR="002C5B8C" w:rsidRPr="002C5B8C">
              <w:tc>
                <w:tcPr>
                  <w:tcW w:w="0" w:type="auto"/>
                  <w:tcBorders>
                    <w:top w:val="outset" w:sz="6" w:space="0" w:color="auto"/>
                    <w:left w:val="outset" w:sz="6" w:space="0" w:color="auto"/>
                    <w:bottom w:val="outset" w:sz="6" w:space="0" w:color="auto"/>
                    <w:right w:val="outset" w:sz="6" w:space="0" w:color="auto"/>
                  </w:tcBorders>
                  <w:vAlign w:val="center"/>
                  <w:hideMark/>
                </w:tcPr>
                <w:p w:rsidR="002C5B8C" w:rsidRPr="002C5B8C" w:rsidRDefault="002C5B8C" w:rsidP="002C5B8C">
                  <w:pPr>
                    <w:widowControl/>
                    <w:spacing w:before="100" w:beforeAutospacing="1" w:after="100" w:afterAutospacing="1"/>
                    <w:jc w:val="center"/>
                    <w:rPr>
                      <w:rFonts w:ascii="宋体" w:eastAsia="宋体" w:hAnsi="宋体" w:cs="宋体"/>
                      <w:color w:val="0D0D0D" w:themeColor="text1" w:themeTint="F2"/>
                      <w:kern w:val="0"/>
                      <w:sz w:val="24"/>
                      <w:szCs w:val="24"/>
                    </w:rPr>
                  </w:pPr>
                  <w:r w:rsidRPr="002C5B8C">
                    <w:rPr>
                      <w:rFonts w:ascii="宋体" w:eastAsia="宋体" w:hAnsi="宋体" w:cs="宋体"/>
                      <w:color w:val="0D0D0D" w:themeColor="text1" w:themeTint="F2"/>
                      <w:kern w:val="0"/>
                      <w:sz w:val="24"/>
                      <w:szCs w:val="24"/>
                    </w:rPr>
                    <w:t>操作系统</w:t>
                  </w:r>
                </w:p>
              </w:tc>
              <w:tc>
                <w:tcPr>
                  <w:tcW w:w="0" w:type="auto"/>
                  <w:tcBorders>
                    <w:top w:val="outset" w:sz="6" w:space="0" w:color="auto"/>
                    <w:left w:val="outset" w:sz="6" w:space="0" w:color="auto"/>
                    <w:bottom w:val="outset" w:sz="6" w:space="0" w:color="auto"/>
                    <w:right w:val="outset" w:sz="6" w:space="0" w:color="auto"/>
                  </w:tcBorders>
                  <w:vAlign w:val="center"/>
                  <w:hideMark/>
                </w:tcPr>
                <w:p w:rsidR="002C5B8C" w:rsidRPr="002C5B8C" w:rsidRDefault="002C5B8C" w:rsidP="002C5B8C">
                  <w:pPr>
                    <w:widowControl/>
                    <w:spacing w:before="100" w:beforeAutospacing="1" w:after="100" w:afterAutospacing="1"/>
                    <w:jc w:val="center"/>
                    <w:rPr>
                      <w:rFonts w:ascii="宋体" w:eastAsia="宋体" w:hAnsi="宋体" w:cs="宋体"/>
                      <w:color w:val="0D0D0D" w:themeColor="text1" w:themeTint="F2"/>
                      <w:kern w:val="0"/>
                      <w:sz w:val="24"/>
                      <w:szCs w:val="24"/>
                    </w:rPr>
                  </w:pPr>
                  <w:r w:rsidRPr="002C5B8C">
                    <w:rPr>
                      <w:rFonts w:ascii="宋体" w:eastAsia="宋体" w:hAnsi="宋体" w:cs="宋体"/>
                      <w:color w:val="0D0D0D" w:themeColor="text1" w:themeTint="F2"/>
                      <w:kern w:val="0"/>
                      <w:sz w:val="24"/>
                      <w:szCs w:val="24"/>
                    </w:rPr>
                    <w:t>Win 7（64位）</w:t>
                  </w:r>
                </w:p>
              </w:tc>
            </w:tr>
            <w:tr w:rsidR="002C5B8C" w:rsidRPr="002C5B8C">
              <w:tc>
                <w:tcPr>
                  <w:tcW w:w="0" w:type="auto"/>
                  <w:tcBorders>
                    <w:top w:val="outset" w:sz="6" w:space="0" w:color="auto"/>
                    <w:left w:val="outset" w:sz="6" w:space="0" w:color="auto"/>
                    <w:bottom w:val="outset" w:sz="6" w:space="0" w:color="auto"/>
                    <w:right w:val="outset" w:sz="6" w:space="0" w:color="auto"/>
                  </w:tcBorders>
                  <w:vAlign w:val="center"/>
                  <w:hideMark/>
                </w:tcPr>
                <w:p w:rsidR="002C5B8C" w:rsidRPr="002C5B8C" w:rsidRDefault="002C5B8C" w:rsidP="002C5B8C">
                  <w:pPr>
                    <w:widowControl/>
                    <w:spacing w:before="100" w:beforeAutospacing="1" w:after="100" w:afterAutospacing="1"/>
                    <w:jc w:val="center"/>
                    <w:rPr>
                      <w:rFonts w:ascii="宋体" w:eastAsia="宋体" w:hAnsi="宋体" w:cs="宋体"/>
                      <w:color w:val="0D0D0D" w:themeColor="text1" w:themeTint="F2"/>
                      <w:kern w:val="0"/>
                      <w:sz w:val="24"/>
                      <w:szCs w:val="24"/>
                    </w:rPr>
                  </w:pPr>
                  <w:r w:rsidRPr="002C5B8C">
                    <w:rPr>
                      <w:rFonts w:ascii="宋体" w:eastAsia="宋体" w:hAnsi="宋体" w:cs="宋体"/>
                      <w:color w:val="0D0D0D" w:themeColor="text1" w:themeTint="F2"/>
                      <w:kern w:val="0"/>
                      <w:sz w:val="24"/>
                      <w:szCs w:val="24"/>
                    </w:rPr>
                    <w:t>其他</w:t>
                  </w:r>
                </w:p>
              </w:tc>
              <w:tc>
                <w:tcPr>
                  <w:tcW w:w="0" w:type="auto"/>
                  <w:tcBorders>
                    <w:top w:val="outset" w:sz="6" w:space="0" w:color="auto"/>
                    <w:left w:val="outset" w:sz="6" w:space="0" w:color="auto"/>
                    <w:bottom w:val="outset" w:sz="6" w:space="0" w:color="auto"/>
                    <w:right w:val="outset" w:sz="6" w:space="0" w:color="auto"/>
                  </w:tcBorders>
                  <w:vAlign w:val="center"/>
                  <w:hideMark/>
                </w:tcPr>
                <w:p w:rsidR="002C5B8C" w:rsidRPr="002C5B8C" w:rsidRDefault="002C5B8C" w:rsidP="002C5B8C">
                  <w:pPr>
                    <w:widowControl/>
                    <w:spacing w:before="100" w:beforeAutospacing="1" w:after="100" w:afterAutospacing="1"/>
                    <w:jc w:val="center"/>
                    <w:rPr>
                      <w:rFonts w:ascii="宋体" w:eastAsia="宋体" w:hAnsi="宋体" w:cs="宋体"/>
                      <w:color w:val="0D0D0D" w:themeColor="text1" w:themeTint="F2"/>
                      <w:kern w:val="0"/>
                      <w:sz w:val="24"/>
                      <w:szCs w:val="24"/>
                    </w:rPr>
                  </w:pPr>
                  <w:r w:rsidRPr="002C5B8C">
                    <w:rPr>
                      <w:rFonts w:ascii="宋体" w:eastAsia="宋体" w:hAnsi="宋体" w:cs="宋体"/>
                      <w:color w:val="0D0D0D" w:themeColor="text1" w:themeTint="F2"/>
                      <w:kern w:val="0"/>
                      <w:sz w:val="24"/>
                      <w:szCs w:val="24"/>
                    </w:rPr>
                    <w:t> </w:t>
                  </w:r>
                </w:p>
                <w:p w:rsidR="002C5B8C" w:rsidRPr="002C5B8C" w:rsidRDefault="002C5B8C" w:rsidP="002C5B8C">
                  <w:pPr>
                    <w:widowControl/>
                    <w:spacing w:before="100" w:beforeAutospacing="1" w:after="100" w:afterAutospacing="1"/>
                    <w:jc w:val="center"/>
                    <w:rPr>
                      <w:rFonts w:ascii="宋体" w:eastAsia="宋体" w:hAnsi="宋体" w:cs="宋体"/>
                      <w:color w:val="0D0D0D" w:themeColor="text1" w:themeTint="F2"/>
                      <w:kern w:val="0"/>
                      <w:sz w:val="24"/>
                      <w:szCs w:val="24"/>
                    </w:rPr>
                  </w:pPr>
                  <w:r w:rsidRPr="002C5B8C">
                    <w:rPr>
                      <w:rFonts w:ascii="宋体" w:eastAsia="宋体" w:hAnsi="宋体" w:cs="宋体"/>
                      <w:color w:val="0D0D0D" w:themeColor="text1" w:themeTint="F2"/>
                      <w:kern w:val="0"/>
                      <w:sz w:val="24"/>
                      <w:szCs w:val="24"/>
                    </w:rPr>
                    <w:t>Office</w:t>
                  </w:r>
                </w:p>
                <w:p w:rsidR="002C5B8C" w:rsidRPr="002C5B8C" w:rsidRDefault="002C5B8C" w:rsidP="002C5B8C">
                  <w:pPr>
                    <w:widowControl/>
                    <w:spacing w:before="100" w:beforeAutospacing="1" w:after="100" w:afterAutospacing="1"/>
                    <w:jc w:val="center"/>
                    <w:rPr>
                      <w:rFonts w:ascii="宋体" w:eastAsia="宋体" w:hAnsi="宋体" w:cs="宋体"/>
                      <w:color w:val="0D0D0D" w:themeColor="text1" w:themeTint="F2"/>
                      <w:kern w:val="0"/>
                      <w:sz w:val="24"/>
                      <w:szCs w:val="24"/>
                    </w:rPr>
                  </w:pPr>
                  <w:r w:rsidRPr="002C5B8C">
                    <w:rPr>
                      <w:rFonts w:ascii="宋体" w:eastAsia="宋体" w:hAnsi="宋体" w:cs="宋体"/>
                      <w:color w:val="0D0D0D" w:themeColor="text1" w:themeTint="F2"/>
                      <w:kern w:val="0"/>
                      <w:sz w:val="24"/>
                      <w:szCs w:val="24"/>
                    </w:rPr>
                    <w:t> </w:t>
                  </w:r>
                </w:p>
              </w:tc>
            </w:tr>
          </w:tbl>
          <w:p w:rsidR="002C5B8C" w:rsidRPr="002C5B8C" w:rsidRDefault="002C5B8C" w:rsidP="002C5B8C">
            <w:pPr>
              <w:widowControl/>
              <w:spacing w:line="360" w:lineRule="atLeast"/>
              <w:jc w:val="left"/>
              <w:rPr>
                <w:rFonts w:ascii="宋体" w:eastAsia="宋体" w:hAnsi="宋体" w:cs="宋体" w:hint="eastAsia"/>
                <w:color w:val="0D0D0D" w:themeColor="text1" w:themeTint="F2"/>
                <w:kern w:val="0"/>
                <w:szCs w:val="21"/>
              </w:rPr>
            </w:pPr>
          </w:p>
          <w:p w:rsidR="002C5B8C" w:rsidRPr="002C5B8C" w:rsidRDefault="002C5B8C" w:rsidP="002C5B8C">
            <w:pPr>
              <w:widowControl/>
              <w:spacing w:line="360" w:lineRule="atLeast"/>
              <w:jc w:val="left"/>
              <w:rPr>
                <w:rFonts w:ascii="宋体" w:eastAsia="宋体" w:hAnsi="宋体" w:cs="宋体" w:hint="eastAsia"/>
                <w:color w:val="0D0D0D" w:themeColor="text1" w:themeTint="F2"/>
                <w:kern w:val="0"/>
                <w:szCs w:val="21"/>
              </w:rPr>
            </w:pPr>
            <w:r w:rsidRPr="002C5B8C">
              <w:rPr>
                <w:rFonts w:ascii="宋体" w:eastAsia="宋体" w:hAnsi="宋体" w:cs="宋体" w:hint="eastAsia"/>
                <w:color w:val="0D0D0D" w:themeColor="text1" w:themeTint="F2"/>
                <w:kern w:val="0"/>
                <w:szCs w:val="21"/>
              </w:rPr>
              <w:t>注：（1）、携带计算机保证硬件能正常运转；</w:t>
            </w:r>
          </w:p>
          <w:p w:rsidR="002C5B8C" w:rsidRPr="002C5B8C" w:rsidRDefault="002C5B8C" w:rsidP="002C5B8C">
            <w:pPr>
              <w:widowControl/>
              <w:spacing w:line="360" w:lineRule="atLeast"/>
              <w:jc w:val="left"/>
              <w:rPr>
                <w:rFonts w:ascii="宋体" w:eastAsia="宋体" w:hAnsi="宋体" w:cs="宋体" w:hint="eastAsia"/>
                <w:color w:val="0D0D0D" w:themeColor="text1" w:themeTint="F2"/>
                <w:kern w:val="0"/>
                <w:szCs w:val="21"/>
              </w:rPr>
            </w:pPr>
            <w:r w:rsidRPr="002C5B8C">
              <w:rPr>
                <w:rFonts w:ascii="宋体" w:eastAsia="宋体" w:hAnsi="宋体" w:cs="宋体" w:hint="eastAsia"/>
                <w:color w:val="0D0D0D" w:themeColor="text1" w:themeTint="F2"/>
                <w:kern w:val="0"/>
                <w:szCs w:val="21"/>
              </w:rPr>
              <w:t>(2)、携带计算机保证系统为全新安装；</w:t>
            </w:r>
          </w:p>
          <w:p w:rsidR="002C5B8C" w:rsidRPr="002C5B8C" w:rsidRDefault="002C5B8C" w:rsidP="002C5B8C">
            <w:pPr>
              <w:widowControl/>
              <w:spacing w:line="360" w:lineRule="atLeast"/>
              <w:jc w:val="left"/>
              <w:rPr>
                <w:rFonts w:ascii="宋体" w:eastAsia="宋体" w:hAnsi="宋体" w:cs="宋体" w:hint="eastAsia"/>
                <w:color w:val="0D0D0D" w:themeColor="text1" w:themeTint="F2"/>
                <w:kern w:val="0"/>
                <w:szCs w:val="21"/>
              </w:rPr>
            </w:pPr>
            <w:r w:rsidRPr="002C5B8C">
              <w:rPr>
                <w:rFonts w:ascii="宋体" w:eastAsia="宋体" w:hAnsi="宋体" w:cs="宋体" w:hint="eastAsia"/>
                <w:color w:val="0D0D0D" w:themeColor="text1" w:themeTint="F2"/>
                <w:kern w:val="0"/>
                <w:szCs w:val="21"/>
              </w:rPr>
              <w:t>(3)、硬盘格式必须为NTFS格式，且剩余空间在450G以上。</w:t>
            </w:r>
          </w:p>
          <w:p w:rsidR="002C5B8C" w:rsidRPr="002C5B8C" w:rsidRDefault="002C5B8C" w:rsidP="002C5B8C">
            <w:pPr>
              <w:widowControl/>
              <w:spacing w:line="360" w:lineRule="atLeast"/>
              <w:jc w:val="left"/>
              <w:rPr>
                <w:rFonts w:ascii="宋体" w:eastAsia="宋体" w:hAnsi="宋体" w:cs="宋体" w:hint="eastAsia"/>
                <w:color w:val="0D0D0D" w:themeColor="text1" w:themeTint="F2"/>
                <w:kern w:val="0"/>
                <w:szCs w:val="21"/>
              </w:rPr>
            </w:pPr>
            <w:r w:rsidRPr="002C5B8C">
              <w:rPr>
                <w:rFonts w:ascii="宋体" w:eastAsia="宋体" w:hAnsi="宋体" w:cs="宋体" w:hint="eastAsia"/>
                <w:color w:val="0D0D0D" w:themeColor="text1" w:themeTint="F2"/>
                <w:kern w:val="0"/>
                <w:szCs w:val="21"/>
              </w:rPr>
              <w:t>三、抽调人员在案头审计期间，食宿费用按出差标准回原单位报销。</w:t>
            </w:r>
          </w:p>
          <w:p w:rsidR="002C5B8C" w:rsidRPr="002C5B8C" w:rsidRDefault="002C5B8C" w:rsidP="002C5B8C">
            <w:pPr>
              <w:widowControl/>
              <w:spacing w:line="360" w:lineRule="atLeast"/>
              <w:jc w:val="left"/>
              <w:rPr>
                <w:rFonts w:ascii="宋体" w:eastAsia="宋体" w:hAnsi="宋体" w:cs="宋体" w:hint="eastAsia"/>
                <w:color w:val="0D0D0D" w:themeColor="text1" w:themeTint="F2"/>
                <w:kern w:val="0"/>
                <w:szCs w:val="21"/>
              </w:rPr>
            </w:pPr>
            <w:r w:rsidRPr="002C5B8C">
              <w:rPr>
                <w:rFonts w:ascii="宋体" w:eastAsia="宋体" w:hAnsi="宋体" w:cs="宋体" w:hint="eastAsia"/>
                <w:color w:val="0D0D0D" w:themeColor="text1" w:themeTint="F2"/>
                <w:kern w:val="0"/>
                <w:szCs w:val="21"/>
              </w:rPr>
              <w:t>四、其他事项</w:t>
            </w:r>
          </w:p>
          <w:p w:rsidR="002C5B8C" w:rsidRPr="002C5B8C" w:rsidRDefault="002C5B8C" w:rsidP="002C5B8C">
            <w:pPr>
              <w:widowControl/>
              <w:spacing w:line="360" w:lineRule="atLeast"/>
              <w:jc w:val="left"/>
              <w:rPr>
                <w:rFonts w:ascii="宋体" w:eastAsia="宋体" w:hAnsi="宋体" w:cs="宋体" w:hint="eastAsia"/>
                <w:color w:val="0D0D0D" w:themeColor="text1" w:themeTint="F2"/>
                <w:kern w:val="0"/>
                <w:szCs w:val="21"/>
              </w:rPr>
            </w:pPr>
            <w:r w:rsidRPr="002C5B8C">
              <w:rPr>
                <w:rFonts w:ascii="宋体" w:eastAsia="宋体" w:hAnsi="宋体" w:cs="宋体" w:hint="eastAsia"/>
                <w:color w:val="0D0D0D" w:themeColor="text1" w:themeTint="F2"/>
                <w:kern w:val="0"/>
                <w:szCs w:val="21"/>
              </w:rPr>
              <w:t>1、省局将把此次案头审计抽调人员作为省局大企业税收管理人才库后备人选；</w:t>
            </w:r>
          </w:p>
          <w:p w:rsidR="002C5B8C" w:rsidRPr="002C5B8C" w:rsidRDefault="002C5B8C" w:rsidP="002C5B8C">
            <w:pPr>
              <w:widowControl/>
              <w:spacing w:line="360" w:lineRule="atLeast"/>
              <w:jc w:val="left"/>
              <w:rPr>
                <w:rFonts w:ascii="宋体" w:eastAsia="宋体" w:hAnsi="宋体" w:cs="宋体" w:hint="eastAsia"/>
                <w:color w:val="0D0D0D" w:themeColor="text1" w:themeTint="F2"/>
                <w:kern w:val="0"/>
                <w:szCs w:val="21"/>
              </w:rPr>
            </w:pPr>
            <w:r w:rsidRPr="002C5B8C">
              <w:rPr>
                <w:rFonts w:ascii="宋体" w:eastAsia="宋体" w:hAnsi="宋体" w:cs="宋体" w:hint="eastAsia"/>
                <w:color w:val="0D0D0D" w:themeColor="text1" w:themeTint="F2"/>
                <w:kern w:val="0"/>
                <w:szCs w:val="21"/>
              </w:rPr>
              <w:t>2、各市（州）局要做好下一阶段现场审计的统筹准备工作。在组建风险应对团队时，应将省局抽调人员作为团队的骨干力量，指导本地区开展现场审计工作；</w:t>
            </w:r>
          </w:p>
          <w:p w:rsidR="002C5B8C" w:rsidRPr="002C5B8C" w:rsidRDefault="002C5B8C" w:rsidP="002C5B8C">
            <w:pPr>
              <w:widowControl/>
              <w:spacing w:line="360" w:lineRule="atLeast"/>
              <w:jc w:val="left"/>
              <w:rPr>
                <w:rFonts w:ascii="宋体" w:eastAsia="宋体" w:hAnsi="宋体" w:cs="宋体"/>
                <w:color w:val="0D0D0D" w:themeColor="text1" w:themeTint="F2"/>
                <w:kern w:val="0"/>
                <w:szCs w:val="21"/>
              </w:rPr>
            </w:pPr>
            <w:r w:rsidRPr="002C5B8C">
              <w:rPr>
                <w:rFonts w:ascii="宋体" w:eastAsia="宋体" w:hAnsi="宋体" w:cs="宋体" w:hint="eastAsia"/>
                <w:color w:val="0D0D0D" w:themeColor="text1" w:themeTint="F2"/>
                <w:kern w:val="0"/>
                <w:szCs w:val="21"/>
              </w:rPr>
              <w:t>3、建议各市（州）局及省局直属税务分局自行选择采购总局或省局选用的税务审计软件。</w:t>
            </w:r>
          </w:p>
        </w:tc>
      </w:tr>
    </w:tbl>
    <w:p w:rsidR="00BD3C06" w:rsidRPr="002C5B8C" w:rsidRDefault="00BD3C06">
      <w:pPr>
        <w:rPr>
          <w:color w:val="0D0D0D" w:themeColor="text1" w:themeTint="F2"/>
        </w:rPr>
      </w:pPr>
    </w:p>
    <w:sectPr w:rsidR="00BD3C06" w:rsidRPr="002C5B8C" w:rsidSect="00BD3C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5B8C"/>
    <w:rsid w:val="000E2AC9"/>
    <w:rsid w:val="002C5B8C"/>
    <w:rsid w:val="00425336"/>
    <w:rsid w:val="00910E51"/>
    <w:rsid w:val="00A375D1"/>
    <w:rsid w:val="00BD3C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D1"/>
    <w:pPr>
      <w:widowControl w:val="0"/>
      <w:jc w:val="both"/>
    </w:pPr>
  </w:style>
  <w:style w:type="paragraph" w:styleId="1">
    <w:name w:val="heading 1"/>
    <w:basedOn w:val="a"/>
    <w:link w:val="1Char"/>
    <w:uiPriority w:val="9"/>
    <w:qFormat/>
    <w:rsid w:val="00A375D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75D1"/>
    <w:rPr>
      <w:rFonts w:ascii="宋体" w:eastAsia="宋体" w:hAnsi="宋体" w:cs="宋体"/>
      <w:b/>
      <w:bCs/>
      <w:kern w:val="36"/>
      <w:sz w:val="48"/>
      <w:szCs w:val="48"/>
    </w:rPr>
  </w:style>
  <w:style w:type="character" w:styleId="a3">
    <w:name w:val="Strong"/>
    <w:basedOn w:val="a0"/>
    <w:uiPriority w:val="22"/>
    <w:qFormat/>
    <w:rsid w:val="00A375D1"/>
    <w:rPr>
      <w:b/>
      <w:bCs/>
    </w:rPr>
  </w:style>
  <w:style w:type="paragraph" w:styleId="a4">
    <w:name w:val="Normal (Web)"/>
    <w:basedOn w:val="a"/>
    <w:uiPriority w:val="99"/>
    <w:unhideWhenUsed/>
    <w:rsid w:val="002C5B8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5633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Microsoft</Company>
  <LinksUpToDate>false</LinksUpToDate>
  <CharactersWithSpaces>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xukangkang</dc:creator>
  <cp:keywords/>
  <dc:description/>
  <cp:lastModifiedBy>xukangkang</cp:lastModifiedBy>
  <cp:revision>1</cp:revision>
  <dcterms:created xsi:type="dcterms:W3CDTF">2014-10-10T03:30:00Z</dcterms:created>
  <dcterms:modified xsi:type="dcterms:W3CDTF">2014-10-10T03:30:00Z</dcterms:modified>
</cp:coreProperties>
</file>