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DCF" w:rsidRDefault="004A0DCF" w:rsidP="004A0DCF">
      <w:pPr>
        <w:widowControl/>
        <w:shd w:val="clear" w:color="auto" w:fill="FEFEFE"/>
        <w:spacing w:line="360" w:lineRule="atLeast"/>
        <w:jc w:val="center"/>
        <w:rPr>
          <w:rFonts w:ascii="宋体" w:eastAsia="宋体" w:hAnsi="宋体" w:cs="宋体" w:hint="eastAsia"/>
          <w:color w:val="0D0D0D" w:themeColor="text1" w:themeTint="F2"/>
          <w:kern w:val="0"/>
          <w:szCs w:val="21"/>
        </w:rPr>
      </w:pPr>
      <w:r w:rsidRPr="004A0DCF">
        <w:rPr>
          <w:rFonts w:ascii="宋体" w:eastAsia="宋体" w:hAnsi="宋体" w:cs="宋体" w:hint="eastAsia"/>
          <w:color w:val="0D0D0D" w:themeColor="text1" w:themeTint="F2"/>
          <w:kern w:val="0"/>
          <w:szCs w:val="21"/>
        </w:rPr>
        <w:t>京市住房和城乡建设委员会 北京市财政局 北京市地方税务局</w:t>
      </w:r>
      <w:r w:rsidRPr="004A0DCF">
        <w:rPr>
          <w:rFonts w:ascii="宋体" w:eastAsia="宋体" w:hAnsi="宋体" w:cs="宋体" w:hint="eastAsia"/>
          <w:color w:val="0D0D0D" w:themeColor="text1" w:themeTint="F2"/>
          <w:kern w:val="0"/>
          <w:szCs w:val="21"/>
        </w:rPr>
        <w:br/>
        <w:t>关于调整本市享受税收优惠政策普通住房平均交易价格有关问题的通知</w:t>
      </w:r>
    </w:p>
    <w:p w:rsidR="004A0DCF" w:rsidRPr="004A0DCF" w:rsidRDefault="004A0DCF" w:rsidP="004A0DCF">
      <w:pPr>
        <w:widowControl/>
        <w:shd w:val="clear" w:color="auto" w:fill="FEFEFE"/>
        <w:spacing w:line="360" w:lineRule="atLeast"/>
        <w:jc w:val="center"/>
        <w:rPr>
          <w:rFonts w:ascii="宋体" w:eastAsia="宋体" w:hAnsi="宋体" w:cs="宋体"/>
          <w:color w:val="0D0D0D" w:themeColor="text1" w:themeTint="F2"/>
          <w:kern w:val="0"/>
          <w:szCs w:val="21"/>
        </w:rPr>
      </w:pPr>
    </w:p>
    <w:p w:rsidR="004A0DCF" w:rsidRPr="004A0DCF" w:rsidRDefault="004A0DCF" w:rsidP="004A0DCF">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4A0DCF">
        <w:rPr>
          <w:rFonts w:ascii="宋体" w:eastAsia="宋体" w:hAnsi="宋体" w:cs="宋体" w:hint="eastAsia"/>
          <w:color w:val="0D0D0D" w:themeColor="text1" w:themeTint="F2"/>
          <w:kern w:val="0"/>
          <w:szCs w:val="21"/>
        </w:rPr>
        <w:t>各有关单位：</w:t>
      </w:r>
      <w:r w:rsidRPr="004A0DCF">
        <w:rPr>
          <w:rFonts w:ascii="宋体" w:eastAsia="宋体" w:hAnsi="宋体" w:cs="宋体" w:hint="eastAsia"/>
          <w:color w:val="0D0D0D" w:themeColor="text1" w:themeTint="F2"/>
          <w:kern w:val="0"/>
          <w:szCs w:val="21"/>
        </w:rPr>
        <w:br/>
        <w:t>为合理引导住房消费，根据《国务院办公厅转发关于做好稳定住房价格工作意见的通知》(国办发〔2005〕26号)相关规定，结合实际，现将调整本市享受税收优惠政策普通住房平均交易价格相关事宜通知如下：</w:t>
      </w:r>
    </w:p>
    <w:p w:rsidR="004A0DCF" w:rsidRPr="004A0DCF" w:rsidRDefault="004A0DCF" w:rsidP="004A0DCF">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4A0DCF">
        <w:rPr>
          <w:rFonts w:ascii="宋体" w:eastAsia="宋体" w:hAnsi="宋体" w:cs="宋体" w:hint="eastAsia"/>
          <w:color w:val="0D0D0D" w:themeColor="text1" w:themeTint="F2"/>
          <w:kern w:val="0"/>
          <w:szCs w:val="21"/>
        </w:rPr>
        <w:t>一、本市享受税收优惠政策的普通住房，原则按照住宅小区建筑容积率在1.0(含)以上、单套建筑面积在140平方米(含)以下，并参考其实际成交价格确定。实际成交价格原则上应当低于按本通知确定的所在区域住房平均交易单价或套总价的1.2倍。</w:t>
      </w:r>
    </w:p>
    <w:p w:rsidR="004A0DCF" w:rsidRPr="004A0DCF" w:rsidRDefault="004A0DCF" w:rsidP="004A0DCF">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4A0DCF">
        <w:rPr>
          <w:rFonts w:ascii="宋体" w:eastAsia="宋体" w:hAnsi="宋体" w:cs="宋体" w:hint="eastAsia"/>
          <w:color w:val="0D0D0D" w:themeColor="text1" w:themeTint="F2"/>
          <w:kern w:val="0"/>
          <w:szCs w:val="21"/>
        </w:rPr>
        <w:t>二、前条所称的所在区域住房平均交易单价或套总价，按照本通知公布的全市住房平均交易单价或者套总价，结合区域调整系数确定。全市住房平均交易价格按照2013年度的单价每建筑平方米2.2万元、套总价260万元确定。区域调整系数为五环内1.5，五至六环之间1.2，六环以外0.9。</w:t>
      </w:r>
    </w:p>
    <w:p w:rsidR="004A0DCF" w:rsidRPr="004A0DCF" w:rsidRDefault="004A0DCF" w:rsidP="004A0DCF">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4A0DCF">
        <w:rPr>
          <w:rFonts w:ascii="宋体" w:eastAsia="宋体" w:hAnsi="宋体" w:cs="宋体" w:hint="eastAsia"/>
          <w:color w:val="0D0D0D" w:themeColor="text1" w:themeTint="F2"/>
          <w:kern w:val="0"/>
          <w:szCs w:val="21"/>
        </w:rPr>
        <w:t>三、自2014年10月8日起，住房交易纳税人申报缴纳税款，符合上述规定的，可享受相关税收优惠。</w:t>
      </w:r>
    </w:p>
    <w:p w:rsidR="003171F0" w:rsidRPr="003171F0" w:rsidRDefault="003171F0" w:rsidP="003171F0">
      <w:pPr>
        <w:pStyle w:val="a4"/>
        <w:shd w:val="clear" w:color="auto" w:fill="FFFFFF"/>
        <w:spacing w:before="0" w:beforeAutospacing="0" w:after="0" w:afterAutospacing="0" w:line="300" w:lineRule="atLeast"/>
        <w:rPr>
          <w:color w:val="0D0D0D" w:themeColor="text1" w:themeTint="F2"/>
          <w:sz w:val="21"/>
          <w:szCs w:val="21"/>
        </w:rPr>
      </w:pPr>
      <w:r w:rsidRPr="003171F0">
        <w:rPr>
          <w:color w:val="0D0D0D" w:themeColor="text1" w:themeTint="F2"/>
          <w:sz w:val="21"/>
          <w:szCs w:val="21"/>
        </w:rPr>
        <w:br/>
      </w:r>
      <w:r w:rsidRPr="003171F0">
        <w:rPr>
          <w:rFonts w:hint="eastAsia"/>
          <w:color w:val="0D0D0D" w:themeColor="text1" w:themeTint="F2"/>
          <w:sz w:val="21"/>
          <w:szCs w:val="21"/>
        </w:rPr>
        <w:t xml:space="preserve">　特此通知。</w:t>
      </w:r>
    </w:p>
    <w:p w:rsidR="003171F0" w:rsidRPr="003171F0" w:rsidRDefault="003171F0" w:rsidP="003171F0">
      <w:pPr>
        <w:pStyle w:val="a4"/>
        <w:shd w:val="clear" w:color="auto" w:fill="FFFFFF"/>
        <w:spacing w:before="0" w:beforeAutospacing="0" w:after="0" w:afterAutospacing="0" w:line="300" w:lineRule="atLeast"/>
        <w:rPr>
          <w:rFonts w:hint="eastAsia"/>
          <w:color w:val="0D0D0D" w:themeColor="text1" w:themeTint="F2"/>
          <w:sz w:val="21"/>
          <w:szCs w:val="21"/>
        </w:rPr>
      </w:pPr>
      <w:r w:rsidRPr="003171F0">
        <w:rPr>
          <w:rFonts w:hint="eastAsia"/>
          <w:color w:val="0D0D0D" w:themeColor="text1" w:themeTint="F2"/>
          <w:sz w:val="21"/>
          <w:szCs w:val="21"/>
        </w:rPr>
        <w:t xml:space="preserve">　　附件：2014年本市享受税收优惠政策的普通住房价格</w:t>
      </w:r>
    </w:p>
    <w:p w:rsidR="003171F0" w:rsidRPr="003171F0" w:rsidRDefault="003171F0" w:rsidP="003171F0">
      <w:pPr>
        <w:pStyle w:val="a4"/>
        <w:shd w:val="clear" w:color="auto" w:fill="FFFFFF"/>
        <w:spacing w:before="0" w:beforeAutospacing="0" w:after="0" w:afterAutospacing="0" w:line="300" w:lineRule="atLeast"/>
        <w:rPr>
          <w:rFonts w:hint="eastAsia"/>
          <w:color w:val="0D0D0D" w:themeColor="text1" w:themeTint="F2"/>
          <w:sz w:val="21"/>
          <w:szCs w:val="21"/>
        </w:rPr>
      </w:pPr>
      <w:r w:rsidRPr="003171F0">
        <w:rPr>
          <w:rFonts w:hint="eastAsia"/>
          <w:color w:val="0D0D0D" w:themeColor="text1" w:themeTint="F2"/>
          <w:sz w:val="21"/>
          <w:szCs w:val="21"/>
        </w:rPr>
        <w:t xml:space="preserve">　　北京市住房和城乡建设委员会</w:t>
      </w:r>
    </w:p>
    <w:p w:rsidR="003171F0" w:rsidRPr="003171F0" w:rsidRDefault="003171F0" w:rsidP="003171F0">
      <w:pPr>
        <w:pStyle w:val="a4"/>
        <w:shd w:val="clear" w:color="auto" w:fill="FFFFFF"/>
        <w:spacing w:before="0" w:beforeAutospacing="0" w:after="0" w:afterAutospacing="0" w:line="300" w:lineRule="atLeast"/>
        <w:rPr>
          <w:rFonts w:hint="eastAsia"/>
          <w:color w:val="0D0D0D" w:themeColor="text1" w:themeTint="F2"/>
          <w:sz w:val="21"/>
          <w:szCs w:val="21"/>
        </w:rPr>
      </w:pPr>
      <w:r w:rsidRPr="003171F0">
        <w:rPr>
          <w:rFonts w:hint="eastAsia"/>
          <w:color w:val="0D0D0D" w:themeColor="text1" w:themeTint="F2"/>
          <w:sz w:val="21"/>
          <w:szCs w:val="21"/>
        </w:rPr>
        <w:t xml:space="preserve">　　北京市财政局</w:t>
      </w:r>
    </w:p>
    <w:p w:rsidR="003171F0" w:rsidRPr="003171F0" w:rsidRDefault="003171F0" w:rsidP="003171F0">
      <w:pPr>
        <w:pStyle w:val="a4"/>
        <w:shd w:val="clear" w:color="auto" w:fill="FFFFFF"/>
        <w:spacing w:before="0" w:beforeAutospacing="0" w:after="0" w:afterAutospacing="0" w:line="300" w:lineRule="atLeast"/>
        <w:rPr>
          <w:rFonts w:hint="eastAsia"/>
          <w:color w:val="0D0D0D" w:themeColor="text1" w:themeTint="F2"/>
          <w:sz w:val="21"/>
          <w:szCs w:val="21"/>
        </w:rPr>
      </w:pPr>
      <w:r w:rsidRPr="003171F0">
        <w:rPr>
          <w:rFonts w:hint="eastAsia"/>
          <w:color w:val="0D0D0D" w:themeColor="text1" w:themeTint="F2"/>
          <w:sz w:val="21"/>
          <w:szCs w:val="21"/>
        </w:rPr>
        <w:t xml:space="preserve">　　北京市地方税务局</w:t>
      </w:r>
    </w:p>
    <w:p w:rsidR="003171F0" w:rsidRPr="003171F0" w:rsidRDefault="003171F0" w:rsidP="003171F0">
      <w:pPr>
        <w:pStyle w:val="a4"/>
        <w:shd w:val="clear" w:color="auto" w:fill="FFFFFF"/>
        <w:spacing w:before="0" w:beforeAutospacing="0" w:after="0" w:afterAutospacing="0" w:line="300" w:lineRule="atLeast"/>
        <w:rPr>
          <w:rFonts w:hint="eastAsia"/>
          <w:color w:val="0D0D0D" w:themeColor="text1" w:themeTint="F2"/>
          <w:sz w:val="21"/>
          <w:szCs w:val="21"/>
        </w:rPr>
      </w:pPr>
      <w:r w:rsidRPr="003171F0">
        <w:rPr>
          <w:rFonts w:hint="eastAsia"/>
          <w:color w:val="0D0D0D" w:themeColor="text1" w:themeTint="F2"/>
          <w:sz w:val="21"/>
          <w:szCs w:val="21"/>
        </w:rPr>
        <w:t xml:space="preserve">　　2014年9月30日</w:t>
      </w:r>
    </w:p>
    <w:p w:rsidR="004A0DCF" w:rsidRPr="004A0DCF" w:rsidRDefault="004A0DCF" w:rsidP="004A0DCF">
      <w:pPr>
        <w:widowControl/>
        <w:shd w:val="clear" w:color="auto" w:fill="FEFEFE"/>
        <w:spacing w:line="360" w:lineRule="atLeast"/>
        <w:jc w:val="left"/>
        <w:rPr>
          <w:rFonts w:ascii="宋体" w:eastAsia="宋体" w:hAnsi="宋体" w:cs="宋体" w:hint="eastAsia"/>
          <w:color w:val="0D0D0D" w:themeColor="text1" w:themeTint="F2"/>
          <w:kern w:val="0"/>
          <w:szCs w:val="21"/>
        </w:rPr>
      </w:pPr>
    </w:p>
    <w:p w:rsidR="004A0DCF" w:rsidRPr="004A0DCF" w:rsidRDefault="004A0DCF" w:rsidP="004A0DCF">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4A0DCF">
        <w:rPr>
          <w:rFonts w:ascii="宋体" w:eastAsia="宋体" w:hAnsi="宋体" w:cs="宋体" w:hint="eastAsia"/>
          <w:color w:val="0D0D0D" w:themeColor="text1" w:themeTint="F2"/>
          <w:kern w:val="0"/>
          <w:szCs w:val="21"/>
        </w:rPr>
        <w:t>附件：</w:t>
      </w:r>
    </w:p>
    <w:p w:rsidR="004A0DCF" w:rsidRPr="004A0DCF" w:rsidRDefault="004A0DCF" w:rsidP="004A0DCF">
      <w:pPr>
        <w:widowControl/>
        <w:shd w:val="clear" w:color="auto" w:fill="FEFEFE"/>
        <w:spacing w:line="360" w:lineRule="atLeast"/>
        <w:jc w:val="center"/>
        <w:rPr>
          <w:rFonts w:ascii="宋体" w:eastAsia="宋体" w:hAnsi="宋体" w:cs="宋体" w:hint="eastAsia"/>
          <w:color w:val="0D0D0D" w:themeColor="text1" w:themeTint="F2"/>
          <w:kern w:val="0"/>
          <w:szCs w:val="21"/>
        </w:rPr>
      </w:pPr>
      <w:r w:rsidRPr="004A0DCF">
        <w:rPr>
          <w:rFonts w:ascii="宋体" w:eastAsia="宋体" w:hAnsi="宋体" w:cs="宋体" w:hint="eastAsia"/>
          <w:color w:val="0D0D0D" w:themeColor="text1" w:themeTint="F2"/>
          <w:kern w:val="0"/>
          <w:szCs w:val="21"/>
        </w:rPr>
        <w:t>2014年本市享受税收优惠政策的普通住房价格 </w:t>
      </w:r>
    </w:p>
    <w:tbl>
      <w:tblPr>
        <w:tblW w:w="7875" w:type="dxa"/>
        <w:tblCellSpacing w:w="0" w:type="dxa"/>
        <w:tblBorders>
          <w:top w:val="outset" w:sz="6" w:space="0" w:color="auto"/>
          <w:left w:val="outset" w:sz="6" w:space="0" w:color="auto"/>
          <w:bottom w:val="outset" w:sz="6" w:space="0" w:color="auto"/>
          <w:right w:val="outset" w:sz="6" w:space="0" w:color="auto"/>
        </w:tblBorders>
        <w:shd w:val="clear" w:color="auto" w:fill="FEFEFE"/>
        <w:tblCellMar>
          <w:left w:w="0" w:type="dxa"/>
          <w:right w:w="0" w:type="dxa"/>
        </w:tblCellMar>
        <w:tblLook w:val="04A0"/>
      </w:tblPr>
      <w:tblGrid>
        <w:gridCol w:w="1488"/>
        <w:gridCol w:w="1101"/>
        <w:gridCol w:w="2900"/>
        <w:gridCol w:w="2386"/>
      </w:tblGrid>
      <w:tr w:rsidR="004A0DCF" w:rsidRPr="004A0DCF" w:rsidTr="004A0D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4A0DCF" w:rsidRPr="004A0DCF" w:rsidRDefault="004A0DCF" w:rsidP="004A0DCF">
            <w:pPr>
              <w:widowControl/>
              <w:spacing w:line="360" w:lineRule="atLeast"/>
              <w:jc w:val="center"/>
              <w:rPr>
                <w:rFonts w:ascii="宋体" w:eastAsia="宋体" w:hAnsi="宋体" w:cs="宋体"/>
                <w:color w:val="0D0D0D" w:themeColor="text1" w:themeTint="F2"/>
                <w:kern w:val="0"/>
                <w:szCs w:val="21"/>
              </w:rPr>
            </w:pPr>
            <w:r w:rsidRPr="004A0DCF">
              <w:rPr>
                <w:rFonts w:ascii="宋体" w:eastAsia="宋体" w:hAnsi="宋体" w:cs="宋体" w:hint="eastAsia"/>
                <w:color w:val="0D0D0D" w:themeColor="text1" w:themeTint="F2"/>
                <w:kern w:val="0"/>
                <w:szCs w:val="21"/>
              </w:rPr>
              <w:t>环线</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4A0DCF" w:rsidRPr="004A0DCF" w:rsidRDefault="004A0DCF" w:rsidP="004A0DCF">
            <w:pPr>
              <w:widowControl/>
              <w:spacing w:line="360" w:lineRule="atLeast"/>
              <w:jc w:val="center"/>
              <w:rPr>
                <w:rFonts w:ascii="宋体" w:eastAsia="宋体" w:hAnsi="宋体" w:cs="宋体"/>
                <w:color w:val="0D0D0D" w:themeColor="text1" w:themeTint="F2"/>
                <w:kern w:val="0"/>
                <w:szCs w:val="21"/>
              </w:rPr>
            </w:pPr>
            <w:r w:rsidRPr="004A0DCF">
              <w:rPr>
                <w:rFonts w:ascii="宋体" w:eastAsia="宋体" w:hAnsi="宋体" w:cs="宋体" w:hint="eastAsia"/>
                <w:color w:val="0D0D0D" w:themeColor="text1" w:themeTint="F2"/>
                <w:kern w:val="0"/>
                <w:szCs w:val="21"/>
              </w:rPr>
              <w:t>系数</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4A0DCF" w:rsidRPr="004A0DCF" w:rsidRDefault="004A0DCF" w:rsidP="004A0DCF">
            <w:pPr>
              <w:widowControl/>
              <w:spacing w:line="360" w:lineRule="atLeast"/>
              <w:jc w:val="center"/>
              <w:rPr>
                <w:rFonts w:ascii="宋体" w:eastAsia="宋体" w:hAnsi="宋体" w:cs="宋体"/>
                <w:color w:val="0D0D0D" w:themeColor="text1" w:themeTint="F2"/>
                <w:kern w:val="0"/>
                <w:szCs w:val="21"/>
              </w:rPr>
            </w:pPr>
            <w:r w:rsidRPr="004A0DCF">
              <w:rPr>
                <w:rFonts w:ascii="宋体" w:eastAsia="宋体" w:hAnsi="宋体" w:cs="宋体" w:hint="eastAsia"/>
                <w:color w:val="0D0D0D" w:themeColor="text1" w:themeTint="F2"/>
                <w:kern w:val="0"/>
                <w:szCs w:val="21"/>
              </w:rPr>
              <w:t>单价</w:t>
            </w:r>
          </w:p>
          <w:p w:rsidR="004A0DCF" w:rsidRPr="004A0DCF" w:rsidRDefault="004A0DCF" w:rsidP="004A0DCF">
            <w:pPr>
              <w:widowControl/>
              <w:spacing w:line="360" w:lineRule="atLeast"/>
              <w:jc w:val="center"/>
              <w:rPr>
                <w:rFonts w:ascii="宋体" w:eastAsia="宋体" w:hAnsi="宋体" w:cs="宋体"/>
                <w:color w:val="0D0D0D" w:themeColor="text1" w:themeTint="F2"/>
                <w:kern w:val="0"/>
                <w:szCs w:val="21"/>
              </w:rPr>
            </w:pPr>
            <w:r w:rsidRPr="004A0DCF">
              <w:rPr>
                <w:rFonts w:ascii="宋体" w:eastAsia="宋体" w:hAnsi="宋体" w:cs="宋体" w:hint="eastAsia"/>
                <w:color w:val="0D0D0D" w:themeColor="text1" w:themeTint="F2"/>
                <w:kern w:val="0"/>
                <w:szCs w:val="21"/>
              </w:rPr>
              <w:t>(元/平方米)</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4A0DCF" w:rsidRPr="004A0DCF" w:rsidRDefault="004A0DCF" w:rsidP="004A0DCF">
            <w:pPr>
              <w:widowControl/>
              <w:spacing w:line="360" w:lineRule="atLeast"/>
              <w:jc w:val="center"/>
              <w:rPr>
                <w:rFonts w:ascii="宋体" w:eastAsia="宋体" w:hAnsi="宋体" w:cs="宋体"/>
                <w:color w:val="0D0D0D" w:themeColor="text1" w:themeTint="F2"/>
                <w:kern w:val="0"/>
                <w:szCs w:val="21"/>
              </w:rPr>
            </w:pPr>
            <w:r w:rsidRPr="004A0DCF">
              <w:rPr>
                <w:rFonts w:ascii="宋体" w:eastAsia="宋体" w:hAnsi="宋体" w:cs="宋体" w:hint="eastAsia"/>
                <w:color w:val="0D0D0D" w:themeColor="text1" w:themeTint="F2"/>
                <w:kern w:val="0"/>
                <w:szCs w:val="21"/>
              </w:rPr>
              <w:t>总价</w:t>
            </w:r>
          </w:p>
          <w:p w:rsidR="004A0DCF" w:rsidRPr="004A0DCF" w:rsidRDefault="004A0DCF" w:rsidP="004A0DCF">
            <w:pPr>
              <w:widowControl/>
              <w:spacing w:line="360" w:lineRule="atLeast"/>
              <w:jc w:val="center"/>
              <w:rPr>
                <w:rFonts w:ascii="宋体" w:eastAsia="宋体" w:hAnsi="宋体" w:cs="宋体" w:hint="eastAsia"/>
                <w:color w:val="0D0D0D" w:themeColor="text1" w:themeTint="F2"/>
                <w:kern w:val="0"/>
                <w:szCs w:val="21"/>
              </w:rPr>
            </w:pPr>
            <w:r w:rsidRPr="004A0DCF">
              <w:rPr>
                <w:rFonts w:ascii="宋体" w:eastAsia="宋体" w:hAnsi="宋体" w:cs="宋体" w:hint="eastAsia"/>
                <w:color w:val="0D0D0D" w:themeColor="text1" w:themeTint="F2"/>
                <w:kern w:val="0"/>
                <w:szCs w:val="21"/>
              </w:rPr>
              <w:t>(万元/套)</w:t>
            </w:r>
          </w:p>
          <w:p w:rsidR="004A0DCF" w:rsidRPr="004A0DCF" w:rsidRDefault="004A0DCF" w:rsidP="004A0DCF">
            <w:pPr>
              <w:widowControl/>
              <w:spacing w:line="360" w:lineRule="atLeast"/>
              <w:jc w:val="left"/>
              <w:rPr>
                <w:rFonts w:ascii="宋体" w:eastAsia="宋体" w:hAnsi="宋体" w:cs="宋体"/>
                <w:color w:val="0D0D0D" w:themeColor="text1" w:themeTint="F2"/>
                <w:kern w:val="0"/>
                <w:szCs w:val="21"/>
              </w:rPr>
            </w:pPr>
          </w:p>
        </w:tc>
      </w:tr>
      <w:tr w:rsidR="004A0DCF" w:rsidRPr="004A0DCF" w:rsidTr="004A0D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4A0DCF" w:rsidRPr="004A0DCF" w:rsidRDefault="004A0DCF" w:rsidP="004A0DCF">
            <w:pPr>
              <w:widowControl/>
              <w:spacing w:line="360" w:lineRule="atLeast"/>
              <w:jc w:val="center"/>
              <w:rPr>
                <w:rFonts w:ascii="宋体" w:eastAsia="宋体" w:hAnsi="宋体" w:cs="宋体"/>
                <w:color w:val="0D0D0D" w:themeColor="text1" w:themeTint="F2"/>
                <w:kern w:val="0"/>
                <w:szCs w:val="21"/>
              </w:rPr>
            </w:pPr>
            <w:r w:rsidRPr="004A0DCF">
              <w:rPr>
                <w:rFonts w:ascii="宋体" w:eastAsia="宋体" w:hAnsi="宋体" w:cs="宋体" w:hint="eastAsia"/>
                <w:color w:val="0D0D0D" w:themeColor="text1" w:themeTint="F2"/>
                <w:kern w:val="0"/>
                <w:szCs w:val="21"/>
              </w:rPr>
              <w:t>5环内</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4A0DCF" w:rsidRPr="004A0DCF" w:rsidRDefault="004A0DCF" w:rsidP="004A0DCF">
            <w:pPr>
              <w:widowControl/>
              <w:spacing w:line="360" w:lineRule="atLeast"/>
              <w:jc w:val="center"/>
              <w:rPr>
                <w:rFonts w:ascii="宋体" w:eastAsia="宋体" w:hAnsi="宋体" w:cs="宋体"/>
                <w:color w:val="0D0D0D" w:themeColor="text1" w:themeTint="F2"/>
                <w:kern w:val="0"/>
                <w:szCs w:val="21"/>
              </w:rPr>
            </w:pPr>
            <w:r w:rsidRPr="004A0DCF">
              <w:rPr>
                <w:rFonts w:ascii="宋体" w:eastAsia="宋体" w:hAnsi="宋体" w:cs="宋体" w:hint="eastAsia"/>
                <w:color w:val="0D0D0D" w:themeColor="text1" w:themeTint="F2"/>
                <w:kern w:val="0"/>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4A0DCF" w:rsidRPr="004A0DCF" w:rsidRDefault="004A0DCF" w:rsidP="004A0DCF">
            <w:pPr>
              <w:widowControl/>
              <w:spacing w:line="360" w:lineRule="atLeast"/>
              <w:jc w:val="center"/>
              <w:rPr>
                <w:rFonts w:ascii="宋体" w:eastAsia="宋体" w:hAnsi="宋体" w:cs="宋体"/>
                <w:color w:val="0D0D0D" w:themeColor="text1" w:themeTint="F2"/>
                <w:kern w:val="0"/>
                <w:szCs w:val="21"/>
              </w:rPr>
            </w:pPr>
            <w:r w:rsidRPr="004A0DCF">
              <w:rPr>
                <w:rFonts w:ascii="宋体" w:eastAsia="宋体" w:hAnsi="宋体" w:cs="宋体" w:hint="eastAsia"/>
                <w:color w:val="0D0D0D" w:themeColor="text1" w:themeTint="F2"/>
                <w:kern w:val="0"/>
                <w:szCs w:val="21"/>
              </w:rPr>
              <w:t>39600</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4A0DCF" w:rsidRPr="004A0DCF" w:rsidRDefault="004A0DCF" w:rsidP="004A0DCF">
            <w:pPr>
              <w:widowControl/>
              <w:spacing w:line="360" w:lineRule="atLeast"/>
              <w:jc w:val="center"/>
              <w:rPr>
                <w:rFonts w:ascii="宋体" w:eastAsia="宋体" w:hAnsi="宋体" w:cs="宋体"/>
                <w:color w:val="0D0D0D" w:themeColor="text1" w:themeTint="F2"/>
                <w:kern w:val="0"/>
                <w:szCs w:val="21"/>
              </w:rPr>
            </w:pPr>
            <w:r w:rsidRPr="004A0DCF">
              <w:rPr>
                <w:rFonts w:ascii="宋体" w:eastAsia="宋体" w:hAnsi="宋体" w:cs="宋体" w:hint="eastAsia"/>
                <w:color w:val="0D0D0D" w:themeColor="text1" w:themeTint="F2"/>
                <w:kern w:val="0"/>
                <w:szCs w:val="21"/>
              </w:rPr>
              <w:t>468</w:t>
            </w:r>
          </w:p>
        </w:tc>
      </w:tr>
      <w:tr w:rsidR="004A0DCF" w:rsidRPr="004A0DCF" w:rsidTr="004A0D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4A0DCF" w:rsidRPr="004A0DCF" w:rsidRDefault="004A0DCF" w:rsidP="004A0DCF">
            <w:pPr>
              <w:widowControl/>
              <w:spacing w:line="360" w:lineRule="atLeast"/>
              <w:jc w:val="center"/>
              <w:rPr>
                <w:rFonts w:ascii="宋体" w:eastAsia="宋体" w:hAnsi="宋体" w:cs="宋体"/>
                <w:color w:val="0D0D0D" w:themeColor="text1" w:themeTint="F2"/>
                <w:kern w:val="0"/>
                <w:szCs w:val="21"/>
              </w:rPr>
            </w:pPr>
            <w:r w:rsidRPr="004A0DCF">
              <w:rPr>
                <w:rFonts w:ascii="宋体" w:eastAsia="宋体" w:hAnsi="宋体" w:cs="宋体" w:hint="eastAsia"/>
                <w:color w:val="0D0D0D" w:themeColor="text1" w:themeTint="F2"/>
                <w:kern w:val="0"/>
                <w:szCs w:val="21"/>
              </w:rPr>
              <w:t>5-6环</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4A0DCF" w:rsidRPr="004A0DCF" w:rsidRDefault="004A0DCF" w:rsidP="004A0DCF">
            <w:pPr>
              <w:widowControl/>
              <w:spacing w:line="360" w:lineRule="atLeast"/>
              <w:jc w:val="center"/>
              <w:rPr>
                <w:rFonts w:ascii="宋体" w:eastAsia="宋体" w:hAnsi="宋体" w:cs="宋体"/>
                <w:color w:val="0D0D0D" w:themeColor="text1" w:themeTint="F2"/>
                <w:kern w:val="0"/>
                <w:szCs w:val="21"/>
              </w:rPr>
            </w:pPr>
            <w:r w:rsidRPr="004A0DCF">
              <w:rPr>
                <w:rFonts w:ascii="宋体" w:eastAsia="宋体" w:hAnsi="宋体" w:cs="宋体" w:hint="eastAsia"/>
                <w:color w:val="0D0D0D" w:themeColor="text1" w:themeTint="F2"/>
                <w:kern w:val="0"/>
                <w:szCs w:val="21"/>
              </w:rPr>
              <w:t>1.2</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4A0DCF" w:rsidRPr="004A0DCF" w:rsidRDefault="004A0DCF" w:rsidP="004A0DCF">
            <w:pPr>
              <w:widowControl/>
              <w:spacing w:line="360" w:lineRule="atLeast"/>
              <w:jc w:val="center"/>
              <w:rPr>
                <w:rFonts w:ascii="宋体" w:eastAsia="宋体" w:hAnsi="宋体" w:cs="宋体"/>
                <w:color w:val="0D0D0D" w:themeColor="text1" w:themeTint="F2"/>
                <w:kern w:val="0"/>
                <w:szCs w:val="21"/>
              </w:rPr>
            </w:pPr>
            <w:r w:rsidRPr="004A0DCF">
              <w:rPr>
                <w:rFonts w:ascii="宋体" w:eastAsia="宋体" w:hAnsi="宋体" w:cs="宋体" w:hint="eastAsia"/>
                <w:color w:val="0D0D0D" w:themeColor="text1" w:themeTint="F2"/>
                <w:kern w:val="0"/>
                <w:szCs w:val="21"/>
              </w:rPr>
              <w:t>31680</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4A0DCF" w:rsidRPr="004A0DCF" w:rsidRDefault="004A0DCF" w:rsidP="004A0DCF">
            <w:pPr>
              <w:widowControl/>
              <w:spacing w:line="360" w:lineRule="atLeast"/>
              <w:jc w:val="center"/>
              <w:rPr>
                <w:rFonts w:ascii="宋体" w:eastAsia="宋体" w:hAnsi="宋体" w:cs="宋体"/>
                <w:color w:val="0D0D0D" w:themeColor="text1" w:themeTint="F2"/>
                <w:kern w:val="0"/>
                <w:szCs w:val="21"/>
              </w:rPr>
            </w:pPr>
            <w:r w:rsidRPr="004A0DCF">
              <w:rPr>
                <w:rFonts w:ascii="宋体" w:eastAsia="宋体" w:hAnsi="宋体" w:cs="宋体" w:hint="eastAsia"/>
                <w:color w:val="0D0D0D" w:themeColor="text1" w:themeTint="F2"/>
                <w:kern w:val="0"/>
                <w:szCs w:val="21"/>
              </w:rPr>
              <w:t>374.4</w:t>
            </w:r>
          </w:p>
        </w:tc>
      </w:tr>
      <w:tr w:rsidR="004A0DCF" w:rsidRPr="004A0DCF" w:rsidTr="004A0D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4A0DCF" w:rsidRPr="004A0DCF" w:rsidRDefault="004A0DCF" w:rsidP="004A0DCF">
            <w:pPr>
              <w:widowControl/>
              <w:spacing w:line="360" w:lineRule="atLeast"/>
              <w:jc w:val="center"/>
              <w:rPr>
                <w:rFonts w:ascii="宋体" w:eastAsia="宋体" w:hAnsi="宋体" w:cs="宋体"/>
                <w:color w:val="0D0D0D" w:themeColor="text1" w:themeTint="F2"/>
                <w:kern w:val="0"/>
                <w:szCs w:val="21"/>
              </w:rPr>
            </w:pPr>
            <w:r w:rsidRPr="004A0DCF">
              <w:rPr>
                <w:rFonts w:ascii="宋体" w:eastAsia="宋体" w:hAnsi="宋体" w:cs="宋体" w:hint="eastAsia"/>
                <w:color w:val="0D0D0D" w:themeColor="text1" w:themeTint="F2"/>
                <w:kern w:val="0"/>
                <w:szCs w:val="21"/>
              </w:rPr>
              <w:t>6环外</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4A0DCF" w:rsidRPr="004A0DCF" w:rsidRDefault="004A0DCF" w:rsidP="004A0DCF">
            <w:pPr>
              <w:widowControl/>
              <w:spacing w:line="360" w:lineRule="atLeast"/>
              <w:jc w:val="center"/>
              <w:rPr>
                <w:rFonts w:ascii="宋体" w:eastAsia="宋体" w:hAnsi="宋体" w:cs="宋体"/>
                <w:color w:val="0D0D0D" w:themeColor="text1" w:themeTint="F2"/>
                <w:kern w:val="0"/>
                <w:szCs w:val="21"/>
              </w:rPr>
            </w:pPr>
            <w:r w:rsidRPr="004A0DCF">
              <w:rPr>
                <w:rFonts w:ascii="宋体" w:eastAsia="宋体" w:hAnsi="宋体" w:cs="宋体" w:hint="eastAsia"/>
                <w:color w:val="0D0D0D" w:themeColor="text1" w:themeTint="F2"/>
                <w:kern w:val="0"/>
                <w:szCs w:val="21"/>
              </w:rPr>
              <w:t>0.9</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4A0DCF" w:rsidRPr="004A0DCF" w:rsidRDefault="004A0DCF" w:rsidP="004A0DCF">
            <w:pPr>
              <w:widowControl/>
              <w:spacing w:line="360" w:lineRule="atLeast"/>
              <w:jc w:val="center"/>
              <w:rPr>
                <w:rFonts w:ascii="宋体" w:eastAsia="宋体" w:hAnsi="宋体" w:cs="宋体"/>
                <w:color w:val="0D0D0D" w:themeColor="text1" w:themeTint="F2"/>
                <w:kern w:val="0"/>
                <w:szCs w:val="21"/>
              </w:rPr>
            </w:pPr>
            <w:r w:rsidRPr="004A0DCF">
              <w:rPr>
                <w:rFonts w:ascii="宋体" w:eastAsia="宋体" w:hAnsi="宋体" w:cs="宋体" w:hint="eastAsia"/>
                <w:color w:val="0D0D0D" w:themeColor="text1" w:themeTint="F2"/>
                <w:kern w:val="0"/>
                <w:szCs w:val="21"/>
              </w:rPr>
              <w:t>23760</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4A0DCF" w:rsidRPr="004A0DCF" w:rsidRDefault="004A0DCF" w:rsidP="004A0DCF">
            <w:pPr>
              <w:widowControl/>
              <w:spacing w:line="360" w:lineRule="atLeast"/>
              <w:jc w:val="center"/>
              <w:rPr>
                <w:rFonts w:ascii="宋体" w:eastAsia="宋体" w:hAnsi="宋体" w:cs="宋体"/>
                <w:color w:val="0D0D0D" w:themeColor="text1" w:themeTint="F2"/>
                <w:kern w:val="0"/>
                <w:szCs w:val="21"/>
              </w:rPr>
            </w:pPr>
            <w:r w:rsidRPr="004A0DCF">
              <w:rPr>
                <w:rFonts w:ascii="宋体" w:eastAsia="宋体" w:hAnsi="宋体" w:cs="宋体" w:hint="eastAsia"/>
                <w:color w:val="0D0D0D" w:themeColor="text1" w:themeTint="F2"/>
                <w:kern w:val="0"/>
                <w:szCs w:val="21"/>
              </w:rPr>
              <w:t>280.8</w:t>
            </w:r>
          </w:p>
        </w:tc>
      </w:tr>
    </w:tbl>
    <w:p w:rsidR="004A0DCF" w:rsidRPr="004A0DCF" w:rsidRDefault="004A0DCF" w:rsidP="004A0DCF">
      <w:pPr>
        <w:widowControl/>
        <w:shd w:val="clear" w:color="auto" w:fill="FEFEFE"/>
        <w:spacing w:line="360" w:lineRule="atLeast"/>
        <w:jc w:val="center"/>
        <w:rPr>
          <w:rFonts w:ascii="宋体" w:eastAsia="宋体" w:hAnsi="宋体" w:cs="宋体" w:hint="eastAsia"/>
          <w:color w:val="0D0D0D" w:themeColor="text1" w:themeTint="F2"/>
          <w:kern w:val="0"/>
          <w:szCs w:val="21"/>
        </w:rPr>
      </w:pPr>
      <w:r w:rsidRPr="004A0DCF">
        <w:rPr>
          <w:rFonts w:ascii="宋体" w:eastAsia="宋体" w:hAnsi="宋体" w:cs="宋体" w:hint="eastAsia"/>
          <w:color w:val="0D0D0D" w:themeColor="text1" w:themeTint="F2"/>
          <w:kern w:val="0"/>
          <w:szCs w:val="21"/>
        </w:rPr>
        <w:t> </w:t>
      </w:r>
    </w:p>
    <w:p w:rsidR="00BD3C06" w:rsidRPr="004A0DCF" w:rsidRDefault="00BD3C06">
      <w:pPr>
        <w:rPr>
          <w:color w:val="0D0D0D" w:themeColor="text1" w:themeTint="F2"/>
        </w:rPr>
      </w:pPr>
    </w:p>
    <w:sectPr w:rsidR="00BD3C06" w:rsidRPr="004A0DCF" w:rsidSect="00BD3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0DCF"/>
    <w:rsid w:val="000E2AC9"/>
    <w:rsid w:val="003171F0"/>
    <w:rsid w:val="003C344F"/>
    <w:rsid w:val="004A0DCF"/>
    <w:rsid w:val="00910E51"/>
    <w:rsid w:val="00A375D1"/>
    <w:rsid w:val="00BD3C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D1"/>
    <w:pPr>
      <w:widowControl w:val="0"/>
      <w:jc w:val="both"/>
    </w:pPr>
  </w:style>
  <w:style w:type="paragraph" w:styleId="1">
    <w:name w:val="heading 1"/>
    <w:basedOn w:val="a"/>
    <w:link w:val="1Char"/>
    <w:uiPriority w:val="9"/>
    <w:qFormat/>
    <w:rsid w:val="00A375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5D1"/>
    <w:rPr>
      <w:rFonts w:ascii="宋体" w:eastAsia="宋体" w:hAnsi="宋体" w:cs="宋体"/>
      <w:b/>
      <w:bCs/>
      <w:kern w:val="36"/>
      <w:sz w:val="48"/>
      <w:szCs w:val="48"/>
    </w:rPr>
  </w:style>
  <w:style w:type="character" w:styleId="a3">
    <w:name w:val="Strong"/>
    <w:basedOn w:val="a0"/>
    <w:uiPriority w:val="22"/>
    <w:qFormat/>
    <w:rsid w:val="00A375D1"/>
    <w:rPr>
      <w:b/>
      <w:bCs/>
    </w:rPr>
  </w:style>
  <w:style w:type="paragraph" w:styleId="a4">
    <w:name w:val="Normal (Web)"/>
    <w:basedOn w:val="a"/>
    <w:uiPriority w:val="99"/>
    <w:unhideWhenUsed/>
    <w:rsid w:val="004A0D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14516312">
      <w:bodyDiv w:val="1"/>
      <w:marLeft w:val="0"/>
      <w:marRight w:val="0"/>
      <w:marTop w:val="0"/>
      <w:marBottom w:val="0"/>
      <w:divBdr>
        <w:top w:val="none" w:sz="0" w:space="0" w:color="auto"/>
        <w:left w:val="none" w:sz="0" w:space="0" w:color="auto"/>
        <w:bottom w:val="none" w:sz="0" w:space="0" w:color="auto"/>
        <w:right w:val="none" w:sz="0" w:space="0" w:color="auto"/>
      </w:divBdr>
    </w:div>
    <w:div w:id="141531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574</Characters>
  <Application>Microsoft Office Word</Application>
  <DocSecurity>0</DocSecurity>
  <Lines>4</Lines>
  <Paragraphs>1</Paragraphs>
  <ScaleCrop>false</ScaleCrop>
  <Company>Microsoft</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xukangkang</dc:creator>
  <cp:keywords/>
  <dc:description/>
  <cp:lastModifiedBy>xukangkang</cp:lastModifiedBy>
  <cp:revision>2</cp:revision>
  <dcterms:created xsi:type="dcterms:W3CDTF">2014-10-10T09:14:00Z</dcterms:created>
  <dcterms:modified xsi:type="dcterms:W3CDTF">2014-10-10T09:16:00Z</dcterms:modified>
</cp:coreProperties>
</file>