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9" w:rsidRPr="00D06AA9" w:rsidRDefault="00D06AA9" w:rsidP="00D06AA9">
      <w:pPr>
        <w:widowControl/>
        <w:shd w:val="clear" w:color="auto" w:fill="FFFFFF"/>
        <w:spacing w:line="0" w:lineRule="atLeast"/>
        <w:jc w:val="center"/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</w:pPr>
      <w:r w:rsidRPr="00D06AA9">
        <w:rPr>
          <w:rFonts w:ascii="Arial" w:eastAsia="微软雅黑" w:hAnsi="微软雅黑" w:cs="Arial"/>
          <w:b/>
          <w:color w:val="000000" w:themeColor="text1"/>
          <w:kern w:val="0"/>
          <w:sz w:val="20"/>
          <w:szCs w:val="20"/>
        </w:rPr>
        <w:t>国家税务总局关于修订《资源税纳税申报表》的公告</w:t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center"/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</w:pPr>
      <w:r w:rsidRPr="00D06AA9">
        <w:rPr>
          <w:rFonts w:ascii="Arial" w:eastAsia="微软雅黑" w:hAnsi="微软雅黑" w:cs="Arial"/>
          <w:b/>
          <w:color w:val="000000" w:themeColor="text1"/>
          <w:kern w:val="0"/>
          <w:sz w:val="20"/>
          <w:szCs w:val="20"/>
        </w:rPr>
        <w:t>国家税务总局公告</w:t>
      </w:r>
      <w:r w:rsidRPr="00D06AA9"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  <w:t>2014</w:t>
      </w:r>
      <w:r w:rsidRPr="00D06AA9">
        <w:rPr>
          <w:rFonts w:ascii="Arial" w:eastAsia="微软雅黑" w:hAnsi="微软雅黑" w:cs="Arial"/>
          <w:b/>
          <w:color w:val="000000" w:themeColor="text1"/>
          <w:kern w:val="0"/>
          <w:sz w:val="20"/>
          <w:szCs w:val="20"/>
        </w:rPr>
        <w:t>年第</w:t>
      </w:r>
      <w:r w:rsidRPr="00D06AA9"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  <w:t>62</w:t>
      </w:r>
      <w:r w:rsidRPr="00D06AA9">
        <w:rPr>
          <w:rFonts w:ascii="Arial" w:eastAsia="微软雅黑" w:hAnsi="微软雅黑" w:cs="Arial"/>
          <w:b/>
          <w:color w:val="000000" w:themeColor="text1"/>
          <w:kern w:val="0"/>
          <w:sz w:val="20"/>
          <w:szCs w:val="20"/>
        </w:rPr>
        <w:t>号</w:t>
      </w:r>
    </w:p>
    <w:p w:rsidR="00D06AA9" w:rsidRPr="00D06AA9" w:rsidRDefault="00D06AA9" w:rsidP="00D06AA9">
      <w:pPr>
        <w:widowControl/>
        <w:pBdr>
          <w:bottom w:val="single" w:sz="6" w:space="0" w:color="F0F0F0"/>
        </w:pBdr>
        <w:shd w:val="clear" w:color="auto" w:fill="FFFFFF"/>
        <w:spacing w:before="300" w:after="300"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 xml:space="preserve">   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 xml:space="preserve">　煤炭资源税自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2014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年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12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月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日起实行从价计征，并采用了折算</w:t>
      </w:r>
      <w:proofErr w:type="gramStart"/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率方法</w:t>
      </w:r>
      <w:proofErr w:type="gramEnd"/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来计征洗选煤的应纳资源税额。为适应税制改革，国家税务总局统一修订了《资源税纳税申报表》，形成了《资源税纳税申报表》（一）、（二），现予以发布，自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2014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年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12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月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日起施行。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 xml:space="preserve">　特此公告。</w:t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国家税务总局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>    2014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年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11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月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2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日</w:t>
      </w:r>
      <w:r>
        <w:rPr>
          <w:rFonts w:ascii="Arial" w:eastAsia="微软雅黑" w:hAnsi="Arial" w:cs="Arial" w:hint="eastAsia"/>
          <w:color w:val="333333"/>
          <w:kern w:val="0"/>
          <w:sz w:val="20"/>
          <w:szCs w:val="20"/>
        </w:rPr>
        <w:br/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资源税纳税申报表（一）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（按从价定</w:t>
      </w:r>
      <w:proofErr w:type="gramStart"/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率办法</w:t>
      </w:r>
      <w:proofErr w:type="gramEnd"/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计算应纳税额的纳税人适用）</w:t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Arial" w:cs="Arial"/>
          <w:noProof/>
          <w:color w:val="333333"/>
          <w:kern w:val="0"/>
          <w:sz w:val="20"/>
          <w:szCs w:val="20"/>
        </w:rPr>
        <w:drawing>
          <wp:inline distT="0" distB="0" distL="0" distR="0">
            <wp:extent cx="6191250" cy="5057775"/>
            <wp:effectExtent l="19050" t="0" r="0" b="0"/>
            <wp:docPr id="1" name="图片 1" descr="http://www.chinatax.gov.cn/n810341/n810755/c1299435/part/1299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tax.gov.cn/n810341/n810755/c1299435/part/12997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　本表一式两份，一份纳税人留存，一份税务机关留存。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　填表说明：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1.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本表适用于资源税纳税人填报（国家税务总局另有规定者除外）。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lastRenderedPageBreak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2.“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纳税人识别号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是纳税人在办理税务登记时由主管税务机关确定的税务编码。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3.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煤炭的征收品目是指财税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[2014]72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号通知规定的原煤和洗选煤，征收子目按适用不同的折算率和不同的减免性质代码，将原煤和</w:t>
      </w:r>
      <w:proofErr w:type="gramStart"/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洗选煤这两个</w:t>
      </w:r>
      <w:proofErr w:type="gramEnd"/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税目细化，分行填列。其他从价计征的征收品目是指资源税实施细则规定的税目，征收子目是同一税目下属的子目。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4.“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销售量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包括视同销售应税产品的自用数量。煤炭、原油的销售量，按吨填报；天然气的销售量，按</w:t>
      </w:r>
      <w:proofErr w:type="gramStart"/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千立方米</w:t>
      </w:r>
      <w:proofErr w:type="gramEnd"/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填报。原油、天然气应纳税额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=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油气总销售额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×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实际征收率。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5.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原煤应纳税额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=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原煤销售额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×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适用税率；</w:t>
      </w:r>
      <w:proofErr w:type="gramStart"/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洗选煤应纳税</w:t>
      </w:r>
      <w:proofErr w:type="gramEnd"/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=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洗选煤销售额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×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折算率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×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适用税率。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2014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年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12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月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日后销售的洗选煤，其所用原煤如果此前已按从量定额办法缴纳了资源税，这部分已缴税款可在其应纳税额中抵扣。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6.“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减免性质代码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，按照国家税务总局制定下发的最新《减免性质及分类表》中的最细项减免性质代码填报。如有免税项目，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减征比例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按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100%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填报。</w:t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资源税纳税申报表（二）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（按从量定额办法计算应纳税额的纳税人适用）</w:t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Arial" w:cs="Arial"/>
          <w:noProof/>
          <w:color w:val="333333"/>
          <w:kern w:val="0"/>
          <w:sz w:val="20"/>
          <w:szCs w:val="20"/>
        </w:rPr>
        <w:drawing>
          <wp:inline distT="0" distB="0" distL="0" distR="0">
            <wp:extent cx="6191250" cy="4752975"/>
            <wp:effectExtent l="19050" t="0" r="0" b="0"/>
            <wp:docPr id="2" name="图片 2" descr="http://www.chinatax.gov.cn/n810341/n810755/c1299435/part/129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natax.gov.cn/n810341/n810755/c1299435/part/12997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A9" w:rsidRPr="00D06AA9" w:rsidRDefault="00D06AA9" w:rsidP="00D06AA9">
      <w:pPr>
        <w:widowControl/>
        <w:shd w:val="clear" w:color="auto" w:fill="FFFFFF"/>
        <w:spacing w:line="0" w:lineRule="atLeast"/>
        <w:jc w:val="left"/>
        <w:rPr>
          <w:rFonts w:ascii="Arial" w:eastAsia="微软雅黑" w:hAnsi="Arial" w:cs="Arial"/>
          <w:color w:val="333333"/>
          <w:kern w:val="0"/>
          <w:sz w:val="20"/>
          <w:szCs w:val="20"/>
        </w:rPr>
      </w:pP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本表一式两份，一份纳税人留存，一份税务机关留存。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填表说明：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1.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本表适用于资源税纳税人填报（国家税务总局另有规定者除外）。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2.“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纳税人识别号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是纳税人在办理税务登记时由主管税务机关确定的税务编码。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3.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征收品目是指资源税实施细则规定的税目，征收子目是同一税目下属的子目。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lastRenderedPageBreak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4.“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计税单位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是指资源税实施细则所附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资源税税目税率明细表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所规定的计税单位。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销售量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包括视同销售应税产品的自用数量。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5.“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本期减免销量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是指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本期减免税额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对应的应税产品减免销售量。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br/>
        <w:t xml:space="preserve">    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 xml:space="preserve">　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“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减免性质代码</w:t>
      </w:r>
      <w:r w:rsidRPr="00D06AA9">
        <w:rPr>
          <w:rFonts w:ascii="Arial" w:eastAsia="微软雅黑" w:hAnsi="Arial" w:cs="Arial"/>
          <w:color w:val="333333"/>
          <w:kern w:val="0"/>
          <w:sz w:val="20"/>
          <w:szCs w:val="20"/>
        </w:rPr>
        <w:t>”</w:t>
      </w:r>
      <w:r w:rsidRPr="00D06AA9">
        <w:rPr>
          <w:rFonts w:ascii="Arial" w:eastAsia="微软雅黑" w:hAnsi="微软雅黑" w:cs="Arial"/>
          <w:color w:val="333333"/>
          <w:kern w:val="0"/>
          <w:sz w:val="20"/>
          <w:szCs w:val="20"/>
        </w:rPr>
        <w:t>，按照国家税务总局制定下发的最新《减免性质及分类表》中的最细项减免性质代码填报。</w:t>
      </w:r>
    </w:p>
    <w:sectPr w:rsidR="00D06AA9" w:rsidRPr="00D06AA9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133A"/>
    <w:multiLevelType w:val="multilevel"/>
    <w:tmpl w:val="884E7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AA9"/>
    <w:rsid w:val="000C6413"/>
    <w:rsid w:val="000E2AC9"/>
    <w:rsid w:val="00910E51"/>
    <w:rsid w:val="00A375D1"/>
    <w:rsid w:val="00BD3C06"/>
    <w:rsid w:val="00D0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character" w:styleId="a4">
    <w:name w:val="Hyperlink"/>
    <w:basedOn w:val="a0"/>
    <w:uiPriority w:val="99"/>
    <w:semiHidden/>
    <w:unhideWhenUsed/>
    <w:rsid w:val="00D06AA9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D06A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06AA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06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2014-11-21T09:28:00Z</dcterms:created>
  <dcterms:modified xsi:type="dcterms:W3CDTF">2014-11-21T09:33:00Z</dcterms:modified>
</cp:coreProperties>
</file>